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E1D7" w14:textId="77777777" w:rsidR="005F099A" w:rsidRPr="00E63C4A" w:rsidRDefault="0030264C">
      <w:pPr>
        <w:pStyle w:val="P68B1DB1-Normal1"/>
        <w:jc w:val="both"/>
      </w:pPr>
      <w:r w:rsidRPr="00E63C4A">
        <w:t>Prentsa-oharra</w:t>
      </w:r>
    </w:p>
    <w:p w14:paraId="10755883" w14:textId="77777777" w:rsidR="005F099A" w:rsidRPr="00E63C4A" w:rsidRDefault="005F099A">
      <w:pPr>
        <w:jc w:val="both"/>
        <w:rPr>
          <w:rFonts w:ascii="Lato" w:hAnsi="Lato"/>
          <w:bCs/>
          <w:sz w:val="22"/>
          <w:szCs w:val="22"/>
          <w:u w:val="single"/>
        </w:rPr>
      </w:pPr>
    </w:p>
    <w:p w14:paraId="77A5259F" w14:textId="5437761B" w:rsidR="005F099A" w:rsidRPr="00E63C4A" w:rsidRDefault="0030264C">
      <w:pPr>
        <w:pStyle w:val="P68B1DB1-Normal2"/>
        <w:jc w:val="center"/>
      </w:pPr>
      <w:r w:rsidRPr="00E63C4A">
        <w:t xml:space="preserve">Industriako eta hirugarren sektoreko ETEetan energia-ikuskapenak egiteko </w:t>
      </w:r>
      <w:r w:rsidR="00E63C4A">
        <w:t>diru</w:t>
      </w:r>
      <w:r w:rsidRPr="00E63C4A">
        <w:t>laguntzak</w:t>
      </w:r>
    </w:p>
    <w:p w14:paraId="15A12C04" w14:textId="77777777" w:rsidR="005F099A" w:rsidRPr="00E63C4A" w:rsidRDefault="005F099A">
      <w:pPr>
        <w:jc w:val="both"/>
        <w:rPr>
          <w:rFonts w:ascii="Lato" w:hAnsi="Lato"/>
          <w:b/>
          <w:sz w:val="22"/>
          <w:szCs w:val="22"/>
        </w:rPr>
      </w:pPr>
    </w:p>
    <w:p w14:paraId="6322549E" w14:textId="176E2670" w:rsidR="005F099A" w:rsidRPr="00E63C4A" w:rsidRDefault="0030264C">
      <w:pPr>
        <w:pStyle w:val="P68B1DB1-Normal3"/>
        <w:jc w:val="both"/>
      </w:pPr>
      <w:r w:rsidRPr="00E63C4A">
        <w:t>Eskaerak aurkezteko epea bihar, apirilak 25, hasiko da eta urtebetez egong</w:t>
      </w:r>
      <w:r w:rsidR="00E63C4A">
        <w:t>o da irekita. Programak azterketa</w:t>
      </w:r>
      <w:r w:rsidRPr="00E63C4A">
        <w:t xml:space="preserve">k eta azterlanak bultzatu nahi ditu </w:t>
      </w:r>
      <w:r w:rsidR="00E63C4A" w:rsidRPr="00E63C4A">
        <w:t xml:space="preserve">ETEetan </w:t>
      </w:r>
      <w:r w:rsidRPr="00E63C4A">
        <w:t>energia berriztagarriak eta energia aurrezteko eta eraginkortasunez erabiltzeko neurriak ezartzeko.</w:t>
      </w:r>
    </w:p>
    <w:p w14:paraId="37150FF5" w14:textId="77777777" w:rsidR="005F099A" w:rsidRPr="00E63C4A" w:rsidRDefault="005F099A">
      <w:pPr>
        <w:jc w:val="both"/>
        <w:rPr>
          <w:rFonts w:ascii="Lato" w:hAnsi="Lato"/>
          <w:sz w:val="22"/>
          <w:szCs w:val="22"/>
        </w:rPr>
      </w:pPr>
    </w:p>
    <w:p w14:paraId="3E120CAF" w14:textId="0D920BFE" w:rsidR="005F099A" w:rsidRPr="00E63C4A" w:rsidRDefault="00E63C4A">
      <w:pPr>
        <w:pStyle w:val="P68B1DB1-Normal4"/>
        <w:jc w:val="both"/>
      </w:pPr>
      <w:r>
        <w:t>Bilbon, 2023</w:t>
      </w:r>
      <w:r w:rsidR="0030264C" w:rsidRPr="00E63C4A">
        <w:t>ko apirilaren 24an. Bihar</w:t>
      </w:r>
      <w:r>
        <w:t xml:space="preserve"> jarriko da indarrean industria</w:t>
      </w:r>
      <w:r w:rsidR="0030264C" w:rsidRPr="00E63C4A">
        <w:t xml:space="preserve"> eta hirugarren sektoree</w:t>
      </w:r>
      <w:r>
        <w:t>tako ETEetan energia-ikuskapen</w:t>
      </w:r>
      <w:r w:rsidR="0030264C" w:rsidRPr="00E63C4A">
        <w:t xml:space="preserve"> integralak egiteko </w:t>
      </w:r>
      <w:r>
        <w:t>diru</w:t>
      </w:r>
      <w:r w:rsidR="0030264C" w:rsidRPr="00E63C4A">
        <w:t xml:space="preserve">laguntzen programa. </w:t>
      </w:r>
    </w:p>
    <w:p w14:paraId="557D77E1" w14:textId="77777777" w:rsidR="005F099A" w:rsidRPr="00E63C4A" w:rsidRDefault="005F099A">
      <w:pPr>
        <w:jc w:val="both"/>
        <w:rPr>
          <w:rFonts w:ascii="Lato" w:hAnsi="Lato"/>
          <w:sz w:val="22"/>
          <w:szCs w:val="22"/>
        </w:rPr>
      </w:pPr>
    </w:p>
    <w:p w14:paraId="496CD891" w14:textId="369217B0" w:rsidR="005F099A" w:rsidRPr="00E63C4A" w:rsidRDefault="00E63C4A">
      <w:pPr>
        <w:pStyle w:val="P68B1DB1-Normal4"/>
        <w:jc w:val="both"/>
      </w:pPr>
      <w:r>
        <w:t>Diru</w:t>
      </w:r>
      <w:r w:rsidR="0030264C" w:rsidRPr="00E63C4A">
        <w:t>laguntza jaso dezaketen jarduerak UNE-EN 16247 arauaren arabera egingo dira, edo horren ondorengo aldaketak edo hobekuntzak, energia berriztagarrien ezarpenean, energia aurreztean eta eraginkortasun energetikoan eta laguntzen xede diren instalazioetan eragina dutenak, Euskal Autonomia Erkidegoan kokatu beharko dira.</w:t>
      </w:r>
    </w:p>
    <w:p w14:paraId="6FBD06BE" w14:textId="77777777" w:rsidR="005F099A" w:rsidRPr="00E63C4A" w:rsidRDefault="005F099A">
      <w:pPr>
        <w:jc w:val="both"/>
        <w:rPr>
          <w:rFonts w:ascii="Lato" w:hAnsi="Lato"/>
          <w:sz w:val="22"/>
          <w:szCs w:val="22"/>
        </w:rPr>
      </w:pPr>
    </w:p>
    <w:p w14:paraId="41B89F95" w14:textId="7298880C" w:rsidR="005F099A" w:rsidRPr="00E63C4A" w:rsidRDefault="0030264C">
      <w:pPr>
        <w:pStyle w:val="P68B1DB1-Normal4"/>
        <w:jc w:val="both"/>
      </w:pPr>
      <w:r w:rsidRPr="00E63C4A">
        <w:t>Aipatu</w:t>
      </w:r>
      <w:r w:rsidR="00832750">
        <w:t>tako</w:t>
      </w:r>
      <w:r w:rsidRPr="00E63C4A">
        <w:t xml:space="preserve"> jarduketek diruz laguntzen ahal den kostuaren</w:t>
      </w:r>
      <w:r w:rsidR="00E63C4A">
        <w:t xml:space="preserve"> </w:t>
      </w:r>
      <w:r w:rsidRPr="00E63C4A">
        <w:t xml:space="preserve">% 50eko </w:t>
      </w:r>
      <w:r w:rsidR="00E63C4A">
        <w:t>dirulaguntza izango</w:t>
      </w:r>
      <w:r w:rsidRPr="00E63C4A">
        <w:t xml:space="preserve"> dute.</w:t>
      </w:r>
    </w:p>
    <w:p w14:paraId="62CEFB02" w14:textId="77777777" w:rsidR="005F099A" w:rsidRPr="00E63C4A" w:rsidRDefault="005F099A">
      <w:pPr>
        <w:jc w:val="both"/>
        <w:rPr>
          <w:rFonts w:ascii="Lato" w:hAnsi="Lato"/>
          <w:sz w:val="22"/>
          <w:szCs w:val="22"/>
        </w:rPr>
      </w:pPr>
    </w:p>
    <w:p w14:paraId="39805A70" w14:textId="3F0292D9" w:rsidR="005F099A" w:rsidRPr="00E63C4A" w:rsidRDefault="0030264C">
      <w:pPr>
        <w:pStyle w:val="P68B1DB1-Normal4"/>
        <w:jc w:val="both"/>
      </w:pPr>
      <w:r w:rsidRPr="00E63C4A">
        <w:t>Gehieneko muga bat ezarri da diruz laguntzen ahal den kosturako, energia kontsumoaren arabera</w:t>
      </w:r>
      <w:r w:rsidR="00E63C4A">
        <w:t>; beraz, diru</w:t>
      </w:r>
      <w:r w:rsidRPr="00E63C4A">
        <w:t>laguntzaren xede den kostuak ez ditu inolaz ere gaindituko gehieneko zenbateko horiek:</w:t>
      </w:r>
    </w:p>
    <w:p w14:paraId="0C1A44F2" w14:textId="77777777" w:rsidR="005F099A" w:rsidRPr="00E63C4A" w:rsidRDefault="005F099A">
      <w:pPr>
        <w:jc w:val="both"/>
        <w:rPr>
          <w:rFonts w:ascii="Lato" w:hAnsi="Lato"/>
          <w:sz w:val="22"/>
          <w:szCs w:val="22"/>
        </w:rPr>
      </w:pPr>
    </w:p>
    <w:tbl>
      <w:tblPr>
        <w:tblStyle w:val="Tablaconcuadrcula"/>
        <w:tblW w:w="0" w:type="auto"/>
        <w:jc w:val="center"/>
        <w:tblLook w:val="04A0" w:firstRow="1" w:lastRow="0" w:firstColumn="1" w:lastColumn="0" w:noHBand="0" w:noVBand="1"/>
      </w:tblPr>
      <w:tblGrid>
        <w:gridCol w:w="1733"/>
        <w:gridCol w:w="1734"/>
        <w:gridCol w:w="2482"/>
      </w:tblGrid>
      <w:tr w:rsidR="005F099A" w:rsidRPr="00E63C4A" w14:paraId="75FE300F" w14:textId="77777777">
        <w:trPr>
          <w:trHeight w:hRule="exact" w:val="651"/>
          <w:tblHeader/>
          <w:jc w:val="center"/>
        </w:trPr>
        <w:tc>
          <w:tcPr>
            <w:tcW w:w="3467" w:type="dxa"/>
            <w:gridSpan w:val="2"/>
            <w:shd w:val="clear" w:color="auto" w:fill="F2F2F2"/>
            <w:vAlign w:val="center"/>
          </w:tcPr>
          <w:p w14:paraId="66D3AB9D" w14:textId="77777777" w:rsidR="005F099A" w:rsidRPr="00E63C4A" w:rsidRDefault="0030264C">
            <w:pPr>
              <w:pStyle w:val="P68B1DB1-Prrafodelista5"/>
              <w:ind w:left="0"/>
              <w:rPr>
                <w:bCs/>
                <w:iCs/>
                <w:sz w:val="20"/>
                <w:szCs w:val="20"/>
              </w:rPr>
            </w:pPr>
            <w:r w:rsidRPr="00E63C4A">
              <w:rPr>
                <w:sz w:val="20"/>
                <w:szCs w:val="20"/>
              </w:rPr>
              <w:t xml:space="preserve">Energia-kontsumoa </w:t>
            </w:r>
            <w:r w:rsidRPr="00E63C4A">
              <w:rPr>
                <w:sz w:val="20"/>
                <w:szCs w:val="20"/>
              </w:rPr>
              <w:br/>
              <w:t xml:space="preserve"> (</w:t>
            </w:r>
            <w:proofErr w:type="spellStart"/>
            <w:r w:rsidRPr="00E63C4A">
              <w:rPr>
                <w:sz w:val="20"/>
                <w:szCs w:val="20"/>
              </w:rPr>
              <w:t>tpb</w:t>
            </w:r>
            <w:proofErr w:type="spellEnd"/>
            <w:r w:rsidRPr="00E63C4A">
              <w:rPr>
                <w:sz w:val="20"/>
                <w:szCs w:val="20"/>
              </w:rPr>
              <w:t>/urte)</w:t>
            </w:r>
          </w:p>
        </w:tc>
        <w:tc>
          <w:tcPr>
            <w:tcW w:w="2482" w:type="dxa"/>
            <w:shd w:val="clear" w:color="auto" w:fill="F2F2F2"/>
            <w:vAlign w:val="center"/>
          </w:tcPr>
          <w:p w14:paraId="616B8C9C" w14:textId="77777777" w:rsidR="005F099A" w:rsidRPr="00E63C4A" w:rsidRDefault="0030264C">
            <w:pPr>
              <w:pStyle w:val="P68B1DB1-Prrafodelista5"/>
              <w:ind w:left="0"/>
              <w:jc w:val="both"/>
              <w:rPr>
                <w:sz w:val="20"/>
                <w:szCs w:val="20"/>
              </w:rPr>
            </w:pPr>
            <w:r w:rsidRPr="00E63C4A">
              <w:rPr>
                <w:sz w:val="20"/>
                <w:szCs w:val="20"/>
              </w:rPr>
              <w:t>Diruz lagundu daitekeen gehienezko kostua (€)</w:t>
            </w:r>
          </w:p>
        </w:tc>
      </w:tr>
      <w:tr w:rsidR="005F099A" w:rsidRPr="00E63C4A" w14:paraId="4C38AF5D" w14:textId="77777777">
        <w:trPr>
          <w:trHeight w:hRule="exact" w:val="284"/>
          <w:jc w:val="center"/>
        </w:trPr>
        <w:tc>
          <w:tcPr>
            <w:tcW w:w="1733" w:type="dxa"/>
            <w:vAlign w:val="center"/>
          </w:tcPr>
          <w:p w14:paraId="3386A52A" w14:textId="77777777" w:rsidR="005F099A" w:rsidRPr="00E63C4A" w:rsidRDefault="0030264C">
            <w:pPr>
              <w:pStyle w:val="P68B1DB1-Normal4"/>
              <w:contextualSpacing/>
              <w:jc w:val="both"/>
            </w:pPr>
            <w:r w:rsidRPr="00E63C4A">
              <w:t>300</w:t>
            </w:r>
          </w:p>
        </w:tc>
        <w:tc>
          <w:tcPr>
            <w:tcW w:w="1734" w:type="dxa"/>
            <w:vAlign w:val="center"/>
          </w:tcPr>
          <w:p w14:paraId="4F7AFD85" w14:textId="17401619" w:rsidR="005F099A" w:rsidRPr="00E63C4A" w:rsidRDefault="00E63C4A">
            <w:pPr>
              <w:pStyle w:val="P68B1DB1-Normal4"/>
              <w:contextualSpacing/>
              <w:jc w:val="both"/>
            </w:pPr>
            <w:r>
              <w:t>&lt;500</w:t>
            </w:r>
          </w:p>
        </w:tc>
        <w:tc>
          <w:tcPr>
            <w:tcW w:w="2482" w:type="dxa"/>
            <w:vAlign w:val="center"/>
          </w:tcPr>
          <w:p w14:paraId="3C5CB92C" w14:textId="77777777" w:rsidR="005F099A" w:rsidRPr="00E63C4A" w:rsidRDefault="0030264C">
            <w:pPr>
              <w:pStyle w:val="P68B1DB1-Normal4"/>
              <w:contextualSpacing/>
              <w:jc w:val="both"/>
            </w:pPr>
            <w:r w:rsidRPr="00E63C4A">
              <w:t>9.800</w:t>
            </w:r>
          </w:p>
        </w:tc>
      </w:tr>
      <w:tr w:rsidR="005F099A" w:rsidRPr="00E63C4A" w14:paraId="25334E07" w14:textId="77777777">
        <w:trPr>
          <w:trHeight w:hRule="exact" w:val="284"/>
          <w:jc w:val="center"/>
        </w:trPr>
        <w:tc>
          <w:tcPr>
            <w:tcW w:w="1733" w:type="dxa"/>
            <w:vAlign w:val="center"/>
          </w:tcPr>
          <w:p w14:paraId="35AC6F95" w14:textId="77777777" w:rsidR="005F099A" w:rsidRPr="00E63C4A" w:rsidRDefault="0030264C">
            <w:pPr>
              <w:pStyle w:val="P68B1DB1-Normal4"/>
              <w:contextualSpacing/>
              <w:jc w:val="both"/>
            </w:pPr>
            <w:r w:rsidRPr="00E63C4A">
              <w:t>150</w:t>
            </w:r>
          </w:p>
        </w:tc>
        <w:tc>
          <w:tcPr>
            <w:tcW w:w="1734" w:type="dxa"/>
            <w:vAlign w:val="center"/>
          </w:tcPr>
          <w:p w14:paraId="33417714" w14:textId="3CD982B1" w:rsidR="005F099A" w:rsidRPr="00E63C4A" w:rsidRDefault="00E63C4A">
            <w:pPr>
              <w:pStyle w:val="P68B1DB1-Normal4"/>
              <w:contextualSpacing/>
              <w:jc w:val="both"/>
            </w:pPr>
            <w:r>
              <w:t>&lt;</w:t>
            </w:r>
            <w:r w:rsidR="0030264C" w:rsidRPr="00E63C4A">
              <w:t>300</w:t>
            </w:r>
          </w:p>
        </w:tc>
        <w:tc>
          <w:tcPr>
            <w:tcW w:w="2482" w:type="dxa"/>
            <w:vAlign w:val="center"/>
          </w:tcPr>
          <w:p w14:paraId="71820CD5" w14:textId="77777777" w:rsidR="005F099A" w:rsidRPr="00E63C4A" w:rsidRDefault="0030264C">
            <w:pPr>
              <w:pStyle w:val="P68B1DB1-Normal4"/>
              <w:contextualSpacing/>
              <w:jc w:val="both"/>
            </w:pPr>
            <w:r w:rsidRPr="00E63C4A">
              <w:t>7.700</w:t>
            </w:r>
          </w:p>
        </w:tc>
      </w:tr>
      <w:tr w:rsidR="005F099A" w:rsidRPr="00E63C4A" w14:paraId="13735C48" w14:textId="77777777">
        <w:trPr>
          <w:trHeight w:hRule="exact" w:val="284"/>
          <w:jc w:val="center"/>
        </w:trPr>
        <w:tc>
          <w:tcPr>
            <w:tcW w:w="1733" w:type="dxa"/>
            <w:vAlign w:val="center"/>
          </w:tcPr>
          <w:p w14:paraId="3C4525C1" w14:textId="77777777" w:rsidR="005F099A" w:rsidRPr="00E63C4A" w:rsidRDefault="0030264C">
            <w:pPr>
              <w:pStyle w:val="P68B1DB1-Normal4"/>
              <w:contextualSpacing/>
              <w:jc w:val="both"/>
            </w:pPr>
            <w:r w:rsidRPr="00E63C4A">
              <w:t>50</w:t>
            </w:r>
          </w:p>
        </w:tc>
        <w:tc>
          <w:tcPr>
            <w:tcW w:w="1734" w:type="dxa"/>
            <w:vAlign w:val="center"/>
          </w:tcPr>
          <w:p w14:paraId="43C63454" w14:textId="58A58FDC" w:rsidR="005F099A" w:rsidRPr="00E63C4A" w:rsidRDefault="00E63C4A">
            <w:pPr>
              <w:pStyle w:val="P68B1DB1-Normal4"/>
              <w:contextualSpacing/>
              <w:jc w:val="both"/>
            </w:pPr>
            <w:r>
              <w:t>&lt;</w:t>
            </w:r>
            <w:r w:rsidR="0030264C" w:rsidRPr="00E63C4A">
              <w:t>150</w:t>
            </w:r>
          </w:p>
        </w:tc>
        <w:tc>
          <w:tcPr>
            <w:tcW w:w="2482" w:type="dxa"/>
            <w:vAlign w:val="center"/>
          </w:tcPr>
          <w:p w14:paraId="25D264D7" w14:textId="77777777" w:rsidR="005F099A" w:rsidRPr="00E63C4A" w:rsidRDefault="0030264C">
            <w:pPr>
              <w:pStyle w:val="P68B1DB1-Normal4"/>
              <w:contextualSpacing/>
              <w:jc w:val="both"/>
            </w:pPr>
            <w:r w:rsidRPr="00E63C4A">
              <w:t>6.600</w:t>
            </w:r>
          </w:p>
        </w:tc>
      </w:tr>
      <w:tr w:rsidR="005F099A" w:rsidRPr="00E63C4A" w14:paraId="7FC260AA" w14:textId="77777777">
        <w:trPr>
          <w:trHeight w:hRule="exact" w:val="284"/>
          <w:jc w:val="center"/>
        </w:trPr>
        <w:tc>
          <w:tcPr>
            <w:tcW w:w="1733" w:type="dxa"/>
            <w:vAlign w:val="center"/>
          </w:tcPr>
          <w:p w14:paraId="4BA7F745" w14:textId="77777777" w:rsidR="005F099A" w:rsidRPr="00E63C4A" w:rsidRDefault="0030264C">
            <w:pPr>
              <w:pStyle w:val="P68B1DB1-Normal4"/>
              <w:contextualSpacing/>
              <w:jc w:val="both"/>
            </w:pPr>
            <w:r w:rsidRPr="00E63C4A">
              <w:t>30</w:t>
            </w:r>
          </w:p>
        </w:tc>
        <w:tc>
          <w:tcPr>
            <w:tcW w:w="1734" w:type="dxa"/>
            <w:vAlign w:val="center"/>
          </w:tcPr>
          <w:p w14:paraId="05C5E5FD" w14:textId="4D56DF28" w:rsidR="005F099A" w:rsidRPr="00E63C4A" w:rsidRDefault="00E63C4A">
            <w:pPr>
              <w:pStyle w:val="P68B1DB1-Normal4"/>
              <w:contextualSpacing/>
              <w:jc w:val="both"/>
            </w:pPr>
            <w:r>
              <w:t>&lt;50</w:t>
            </w:r>
          </w:p>
        </w:tc>
        <w:tc>
          <w:tcPr>
            <w:tcW w:w="2482" w:type="dxa"/>
            <w:vAlign w:val="center"/>
          </w:tcPr>
          <w:p w14:paraId="1414DF2C" w14:textId="77777777" w:rsidR="005F099A" w:rsidRPr="00E63C4A" w:rsidRDefault="0030264C">
            <w:pPr>
              <w:pStyle w:val="P68B1DB1-Normal4"/>
              <w:contextualSpacing/>
              <w:jc w:val="both"/>
            </w:pPr>
            <w:r w:rsidRPr="00E63C4A">
              <w:t>5.300</w:t>
            </w:r>
          </w:p>
        </w:tc>
      </w:tr>
      <w:tr w:rsidR="005F099A" w:rsidRPr="00E63C4A" w14:paraId="6E3AAF96" w14:textId="77777777">
        <w:trPr>
          <w:trHeight w:hRule="exact" w:val="284"/>
          <w:jc w:val="center"/>
        </w:trPr>
        <w:tc>
          <w:tcPr>
            <w:tcW w:w="1733" w:type="dxa"/>
            <w:vAlign w:val="center"/>
          </w:tcPr>
          <w:p w14:paraId="5F03571C" w14:textId="5AD44756" w:rsidR="005F099A" w:rsidRPr="00E63C4A" w:rsidRDefault="00E63C4A">
            <w:pPr>
              <w:pStyle w:val="P68B1DB1-Normal4"/>
              <w:contextualSpacing/>
              <w:jc w:val="both"/>
            </w:pPr>
            <w:r>
              <w:t>20</w:t>
            </w:r>
          </w:p>
        </w:tc>
        <w:tc>
          <w:tcPr>
            <w:tcW w:w="1734" w:type="dxa"/>
            <w:vAlign w:val="center"/>
          </w:tcPr>
          <w:p w14:paraId="1E31C908" w14:textId="7CE0DA64" w:rsidR="005F099A" w:rsidRPr="00E63C4A" w:rsidRDefault="00E63C4A">
            <w:pPr>
              <w:pStyle w:val="P68B1DB1-Normal4"/>
              <w:contextualSpacing/>
              <w:jc w:val="both"/>
            </w:pPr>
            <w:r>
              <w:t>&lt;</w:t>
            </w:r>
            <w:r w:rsidR="0030264C" w:rsidRPr="00E63C4A">
              <w:t>30</w:t>
            </w:r>
          </w:p>
        </w:tc>
        <w:tc>
          <w:tcPr>
            <w:tcW w:w="2482" w:type="dxa"/>
            <w:vAlign w:val="center"/>
          </w:tcPr>
          <w:p w14:paraId="76F9F50B" w14:textId="77777777" w:rsidR="005F099A" w:rsidRPr="00E63C4A" w:rsidRDefault="0030264C">
            <w:pPr>
              <w:pStyle w:val="P68B1DB1-Normal4"/>
              <w:contextualSpacing/>
              <w:jc w:val="both"/>
            </w:pPr>
            <w:r w:rsidRPr="00E63C4A">
              <w:t>4.400</w:t>
            </w:r>
          </w:p>
        </w:tc>
      </w:tr>
      <w:tr w:rsidR="005F099A" w:rsidRPr="00E63C4A" w14:paraId="574D47C1" w14:textId="77777777">
        <w:trPr>
          <w:trHeight w:hRule="exact" w:val="284"/>
          <w:jc w:val="center"/>
        </w:trPr>
        <w:tc>
          <w:tcPr>
            <w:tcW w:w="1733" w:type="dxa"/>
            <w:vAlign w:val="center"/>
          </w:tcPr>
          <w:p w14:paraId="5C6F12CA" w14:textId="260630CE" w:rsidR="005F099A" w:rsidRPr="00E63C4A" w:rsidRDefault="00E63C4A">
            <w:pPr>
              <w:pStyle w:val="P68B1DB1-Normal4"/>
              <w:contextualSpacing/>
              <w:jc w:val="both"/>
            </w:pPr>
            <w:r>
              <w:t>10</w:t>
            </w:r>
          </w:p>
        </w:tc>
        <w:tc>
          <w:tcPr>
            <w:tcW w:w="1734" w:type="dxa"/>
            <w:vAlign w:val="center"/>
          </w:tcPr>
          <w:p w14:paraId="2C30AE9E" w14:textId="4FB80326" w:rsidR="005F099A" w:rsidRPr="00E63C4A" w:rsidRDefault="00E63C4A">
            <w:pPr>
              <w:pStyle w:val="P68B1DB1-Normal4"/>
              <w:contextualSpacing/>
              <w:jc w:val="both"/>
            </w:pPr>
            <w:r>
              <w:t>&lt;</w:t>
            </w:r>
            <w:r w:rsidR="0030264C" w:rsidRPr="00E63C4A">
              <w:t>20</w:t>
            </w:r>
          </w:p>
        </w:tc>
        <w:tc>
          <w:tcPr>
            <w:tcW w:w="2482" w:type="dxa"/>
            <w:vAlign w:val="center"/>
          </w:tcPr>
          <w:p w14:paraId="62A7B811" w14:textId="77777777" w:rsidR="005F099A" w:rsidRPr="00E63C4A" w:rsidRDefault="0030264C">
            <w:pPr>
              <w:pStyle w:val="P68B1DB1-Normal4"/>
              <w:contextualSpacing/>
              <w:jc w:val="both"/>
            </w:pPr>
            <w:r w:rsidRPr="00E63C4A">
              <w:t>3.800</w:t>
            </w:r>
          </w:p>
        </w:tc>
      </w:tr>
      <w:tr w:rsidR="005F099A" w:rsidRPr="00E63C4A" w14:paraId="7A84E9EE" w14:textId="77777777">
        <w:trPr>
          <w:trHeight w:hRule="exact" w:val="284"/>
          <w:jc w:val="center"/>
        </w:trPr>
        <w:tc>
          <w:tcPr>
            <w:tcW w:w="1733" w:type="dxa"/>
            <w:vAlign w:val="center"/>
          </w:tcPr>
          <w:p w14:paraId="4AC6A050" w14:textId="77777777" w:rsidR="005F099A" w:rsidRPr="00E63C4A" w:rsidRDefault="0030264C">
            <w:pPr>
              <w:pStyle w:val="P68B1DB1-Normal4"/>
              <w:contextualSpacing/>
              <w:jc w:val="both"/>
            </w:pPr>
            <w:r w:rsidRPr="00E63C4A">
              <w:t>0</w:t>
            </w:r>
          </w:p>
        </w:tc>
        <w:tc>
          <w:tcPr>
            <w:tcW w:w="1734" w:type="dxa"/>
            <w:vAlign w:val="center"/>
          </w:tcPr>
          <w:p w14:paraId="4100F7CD" w14:textId="2C018A36" w:rsidR="005F099A" w:rsidRPr="00E63C4A" w:rsidRDefault="00E63C4A">
            <w:pPr>
              <w:pStyle w:val="P68B1DB1-Normal4"/>
              <w:contextualSpacing/>
              <w:jc w:val="both"/>
            </w:pPr>
            <w:r>
              <w:t>&lt;</w:t>
            </w:r>
            <w:r w:rsidR="0030264C" w:rsidRPr="00E63C4A">
              <w:t>10</w:t>
            </w:r>
          </w:p>
        </w:tc>
        <w:tc>
          <w:tcPr>
            <w:tcW w:w="2482" w:type="dxa"/>
            <w:vAlign w:val="center"/>
          </w:tcPr>
          <w:p w14:paraId="5D2F4C09" w14:textId="77777777" w:rsidR="005F099A" w:rsidRPr="00E63C4A" w:rsidRDefault="0030264C">
            <w:pPr>
              <w:pStyle w:val="P68B1DB1-Normal4"/>
              <w:contextualSpacing/>
              <w:jc w:val="both"/>
            </w:pPr>
            <w:r w:rsidRPr="00E63C4A">
              <w:t>3.300</w:t>
            </w:r>
          </w:p>
        </w:tc>
      </w:tr>
    </w:tbl>
    <w:p w14:paraId="580F488B" w14:textId="77777777" w:rsidR="005F099A" w:rsidRPr="00E63C4A" w:rsidRDefault="005F099A">
      <w:pPr>
        <w:jc w:val="both"/>
        <w:rPr>
          <w:rFonts w:ascii="Lato" w:hAnsi="Lato"/>
          <w:sz w:val="22"/>
          <w:szCs w:val="22"/>
        </w:rPr>
      </w:pPr>
    </w:p>
    <w:p w14:paraId="5D5EEAB7" w14:textId="77777777" w:rsidR="005F099A" w:rsidRPr="00E63C4A" w:rsidRDefault="005F099A">
      <w:pPr>
        <w:jc w:val="both"/>
        <w:rPr>
          <w:rFonts w:ascii="Lato" w:hAnsi="Lato"/>
          <w:sz w:val="22"/>
          <w:szCs w:val="22"/>
        </w:rPr>
      </w:pPr>
    </w:p>
    <w:p w14:paraId="1D5F4FBD" w14:textId="4329E587" w:rsidR="005F099A" w:rsidRPr="00E63C4A" w:rsidRDefault="0030264C">
      <w:pPr>
        <w:pStyle w:val="P68B1DB1-Normal4"/>
        <w:jc w:val="both"/>
      </w:pPr>
      <w:r w:rsidRPr="00E63C4A">
        <w:t>Halaber, kontuan hartuko dira beste faktore batzuk ere, ha</w:t>
      </w:r>
      <w:r w:rsidR="00E63C4A">
        <w:t>la nola garatu beharreko azterket</w:t>
      </w:r>
      <w:r w:rsidRPr="00E63C4A">
        <w:t>aren irismena, eskatzailearen kontsumitzaile-profila, kontsumitutako energiak eta egin beharreko monitorizazioak, garatu beharreko energia-balantzeak eta horien konplexutasuna, eta kogenerazio-instalazioen bideragarritasun-azterketa egitea.</w:t>
      </w:r>
    </w:p>
    <w:p w14:paraId="6C82D6A8" w14:textId="77777777" w:rsidR="005F099A" w:rsidRPr="00E63C4A" w:rsidRDefault="005F099A">
      <w:pPr>
        <w:jc w:val="both"/>
        <w:rPr>
          <w:rFonts w:ascii="Lato" w:hAnsi="Lato"/>
          <w:sz w:val="22"/>
          <w:szCs w:val="22"/>
        </w:rPr>
      </w:pPr>
    </w:p>
    <w:p w14:paraId="7271D26E" w14:textId="77777777" w:rsidR="005F099A" w:rsidRPr="00E63C4A" w:rsidRDefault="0030264C">
      <w:pPr>
        <w:pStyle w:val="P68B1DB1-Normal3"/>
        <w:jc w:val="both"/>
      </w:pPr>
      <w:r w:rsidRPr="00E63C4A">
        <w:t>Kontsulta-telefonoa</w:t>
      </w:r>
    </w:p>
    <w:p w14:paraId="13A2B947" w14:textId="47BA20DE" w:rsidR="005F099A" w:rsidRPr="00E63C4A" w:rsidRDefault="0030264C">
      <w:pPr>
        <w:pStyle w:val="P68B1DB1-Normal4"/>
        <w:jc w:val="both"/>
      </w:pPr>
      <w:r w:rsidRPr="00E63C4A">
        <w:t>Erabiltzailearentzako Arreta Zentroak 946.6</w:t>
      </w:r>
      <w:r w:rsidR="00E63C4A">
        <w:t>20.600 telefonoan erantzungo du</w:t>
      </w:r>
      <w:r w:rsidRPr="00E63C4A">
        <w:t>.</w:t>
      </w:r>
    </w:p>
    <w:p w14:paraId="64AAA13F" w14:textId="77777777" w:rsidR="005F099A" w:rsidRPr="00E63C4A" w:rsidRDefault="005F099A">
      <w:pPr>
        <w:jc w:val="both"/>
        <w:rPr>
          <w:rFonts w:ascii="Lato" w:hAnsi="Lato"/>
          <w:sz w:val="22"/>
          <w:szCs w:val="22"/>
        </w:rPr>
      </w:pPr>
    </w:p>
    <w:p w14:paraId="00F8E088" w14:textId="77777777" w:rsidR="005F099A" w:rsidRPr="00E63C4A" w:rsidRDefault="0030264C">
      <w:pPr>
        <w:pStyle w:val="P68B1DB1-Normal3"/>
        <w:jc w:val="both"/>
      </w:pPr>
      <w:r w:rsidRPr="00E63C4A">
        <w:t>Eskaeren tramitazioa</w:t>
      </w:r>
    </w:p>
    <w:p w14:paraId="66CA716F" w14:textId="77777777" w:rsidR="005F099A" w:rsidRPr="00E63C4A" w:rsidRDefault="005F099A">
      <w:pPr>
        <w:jc w:val="both"/>
        <w:rPr>
          <w:rFonts w:ascii="Lato" w:hAnsi="Lato"/>
          <w:sz w:val="22"/>
          <w:szCs w:val="22"/>
        </w:rPr>
      </w:pPr>
    </w:p>
    <w:p w14:paraId="7F6E99B8" w14:textId="4A04972E" w:rsidR="005F099A" w:rsidRPr="00E63C4A" w:rsidRDefault="0030264C">
      <w:pPr>
        <w:jc w:val="both"/>
        <w:rPr>
          <w:rFonts w:ascii="Lato" w:hAnsi="Lato"/>
          <w:sz w:val="22"/>
          <w:szCs w:val="22"/>
        </w:rPr>
      </w:pPr>
      <w:r w:rsidRPr="00E63C4A">
        <w:rPr>
          <w:rFonts w:ascii="Lato" w:hAnsi="Lato"/>
          <w:sz w:val="22"/>
          <w:szCs w:val="22"/>
        </w:rPr>
        <w:lastRenderedPageBreak/>
        <w:t xml:space="preserve">Deialdi honetako eskaeren tramitazioari buruzko informazio gehiago, </w:t>
      </w:r>
      <w:hyperlink r:id="rId6" w:history="1">
        <w:r w:rsidR="00E63C4A" w:rsidRPr="00892552">
          <w:rPr>
            <w:rStyle w:val="Hipervnculo"/>
            <w:rFonts w:ascii="Lato" w:hAnsi="Lato"/>
            <w:sz w:val="22"/>
            <w:szCs w:val="22"/>
          </w:rPr>
          <w:t>www.eve.eus</w:t>
        </w:r>
      </w:hyperlink>
      <w:r w:rsidR="00E63C4A">
        <w:rPr>
          <w:rFonts w:ascii="Lato" w:hAnsi="Lato"/>
          <w:sz w:val="22"/>
          <w:szCs w:val="22"/>
        </w:rPr>
        <w:t xml:space="preserve"> helbidean</w:t>
      </w:r>
      <w:r w:rsidR="001E1557">
        <w:rPr>
          <w:rFonts w:ascii="Lato" w:hAnsi="Lato"/>
          <w:sz w:val="22"/>
          <w:szCs w:val="22"/>
        </w:rPr>
        <w:t>,</w:t>
      </w:r>
      <w:r w:rsidRPr="00E63C4A">
        <w:rPr>
          <w:rFonts w:ascii="Lato" w:hAnsi="Lato"/>
          <w:sz w:val="22"/>
          <w:szCs w:val="22"/>
        </w:rPr>
        <w:t xml:space="preserve"> </w:t>
      </w:r>
      <w:r w:rsidR="00E63C4A">
        <w:rPr>
          <w:rFonts w:ascii="Lato" w:hAnsi="Lato"/>
          <w:sz w:val="22"/>
          <w:szCs w:val="22"/>
        </w:rPr>
        <w:t>diru</w:t>
      </w:r>
      <w:r w:rsidRPr="00E63C4A">
        <w:rPr>
          <w:rFonts w:ascii="Lato" w:hAnsi="Lato"/>
          <w:sz w:val="22"/>
          <w:szCs w:val="22"/>
        </w:rPr>
        <w:t>laguntzen atalean</w:t>
      </w:r>
      <w:r w:rsidR="00E63C4A">
        <w:rPr>
          <w:rFonts w:ascii="Lato" w:hAnsi="Lato"/>
          <w:sz w:val="22"/>
          <w:szCs w:val="22"/>
        </w:rPr>
        <w:t>.</w:t>
      </w:r>
      <w:r w:rsidRPr="00E63C4A">
        <w:rPr>
          <w:rFonts w:ascii="Lato" w:hAnsi="Lato"/>
          <w:sz w:val="22"/>
          <w:szCs w:val="22"/>
        </w:rPr>
        <w:t xml:space="preserve"> </w:t>
      </w:r>
      <w:hyperlink r:id="rId7" w:history="1"/>
      <w:r w:rsidRPr="00E63C4A">
        <w:rPr>
          <w:rFonts w:ascii="Lato" w:hAnsi="Lato"/>
          <w:sz w:val="22"/>
          <w:szCs w:val="22"/>
        </w:rPr>
        <w:t xml:space="preserve"> </w:t>
      </w:r>
    </w:p>
    <w:p w14:paraId="510C30D0" w14:textId="77777777" w:rsidR="005F099A" w:rsidRPr="00E63C4A" w:rsidRDefault="005F099A"/>
    <w:sectPr w:rsidR="005F099A" w:rsidRPr="00E63C4A">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CA62" w14:textId="77777777" w:rsidR="00E478C3" w:rsidRDefault="00E478C3">
      <w:r>
        <w:separator/>
      </w:r>
    </w:p>
  </w:endnote>
  <w:endnote w:type="continuationSeparator" w:id="0">
    <w:p w14:paraId="312B57A6" w14:textId="77777777" w:rsidR="00E478C3" w:rsidRDefault="00E4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7CFB0" w14:textId="77777777" w:rsidR="00E478C3" w:rsidRDefault="00E478C3">
      <w:r>
        <w:separator/>
      </w:r>
    </w:p>
  </w:footnote>
  <w:footnote w:type="continuationSeparator" w:id="0">
    <w:p w14:paraId="7EE665A7" w14:textId="77777777" w:rsidR="00E478C3" w:rsidRDefault="00E47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796C76" w14:paraId="56657623" w14:textId="77777777" w:rsidTr="00C063BA">
      <w:tc>
        <w:tcPr>
          <w:tcW w:w="4244" w:type="dxa"/>
          <w:vAlign w:val="center"/>
        </w:tcPr>
        <w:p w14:paraId="31466421" w14:textId="77777777" w:rsidR="00796C76" w:rsidRDefault="00796C76" w:rsidP="00796C76">
          <w:pPr>
            <w:pStyle w:val="Encabezado"/>
            <w:jc w:val="center"/>
          </w:pPr>
          <w:r>
            <w:rPr>
              <w:noProof/>
            </w:rPr>
            <w:drawing>
              <wp:inline distT="0" distB="0" distL="0" distR="0" wp14:anchorId="0D720E89" wp14:editId="6BA44DDF">
                <wp:extent cx="1388286" cy="628469"/>
                <wp:effectExtent l="0" t="0" r="0" b="0"/>
                <wp:docPr id="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55287" cy="658800"/>
                        </a:xfrm>
                        <a:prstGeom prst="rect">
                          <a:avLst/>
                        </a:prstGeom>
                      </pic:spPr>
                    </pic:pic>
                  </a:graphicData>
                </a:graphic>
              </wp:inline>
            </w:drawing>
          </w:r>
        </w:p>
      </w:tc>
      <w:tc>
        <w:tcPr>
          <w:tcW w:w="4244" w:type="dxa"/>
          <w:vAlign w:val="center"/>
        </w:tcPr>
        <w:p w14:paraId="747C0F57" w14:textId="77777777" w:rsidR="00796C76" w:rsidRDefault="00796C76" w:rsidP="00796C76">
          <w:pPr>
            <w:pStyle w:val="Encabezado"/>
            <w:jc w:val="center"/>
          </w:pPr>
          <w:r>
            <w:rPr>
              <w:noProof/>
            </w:rPr>
            <w:drawing>
              <wp:inline distT="0" distB="0" distL="0" distR="0" wp14:anchorId="194C5562" wp14:editId="20743D56">
                <wp:extent cx="1341751" cy="729408"/>
                <wp:effectExtent l="0" t="0" r="508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399330" cy="760709"/>
                        </a:xfrm>
                        <a:prstGeom prst="rect">
                          <a:avLst/>
                        </a:prstGeom>
                      </pic:spPr>
                    </pic:pic>
                  </a:graphicData>
                </a:graphic>
              </wp:inline>
            </w:drawing>
          </w:r>
        </w:p>
      </w:tc>
    </w:tr>
  </w:tbl>
  <w:p w14:paraId="7AB4FEB6" w14:textId="77777777" w:rsidR="00796C76" w:rsidRDefault="00796C7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994"/>
    <w:rsid w:val="000C4382"/>
    <w:rsid w:val="00101E6D"/>
    <w:rsid w:val="00114305"/>
    <w:rsid w:val="001E1557"/>
    <w:rsid w:val="00295380"/>
    <w:rsid w:val="0030264C"/>
    <w:rsid w:val="003365CA"/>
    <w:rsid w:val="0042444E"/>
    <w:rsid w:val="004275E1"/>
    <w:rsid w:val="004C288A"/>
    <w:rsid w:val="00507BDF"/>
    <w:rsid w:val="005C6F0C"/>
    <w:rsid w:val="005F099A"/>
    <w:rsid w:val="00676DD1"/>
    <w:rsid w:val="006822E4"/>
    <w:rsid w:val="00796C76"/>
    <w:rsid w:val="00832750"/>
    <w:rsid w:val="00871D64"/>
    <w:rsid w:val="00A03ECC"/>
    <w:rsid w:val="00AE1591"/>
    <w:rsid w:val="00B91B6E"/>
    <w:rsid w:val="00BF55BA"/>
    <w:rsid w:val="00D21911"/>
    <w:rsid w:val="00E001CA"/>
    <w:rsid w:val="00E478C3"/>
    <w:rsid w:val="00E63C4A"/>
    <w:rsid w:val="00EB145E"/>
    <w:rsid w:val="00F269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3F80"/>
  <w15:chartTrackingRefBased/>
  <w15:docId w15:val="{8A8B8C29-F58E-9D4F-821A-DB3102DE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07BDF"/>
    <w:pPr>
      <w:ind w:left="720"/>
      <w:contextualSpacing/>
    </w:pPr>
    <w:rPr>
      <w:rFonts w:ascii="Times New Roman" w:eastAsia="Times New Roman" w:hAnsi="Times New Roman" w:cs="Times New Roman"/>
      <w:sz w:val="20"/>
      <w:szCs w:val="20"/>
    </w:rPr>
  </w:style>
  <w:style w:type="table" w:styleId="Tablaconcuadrcula">
    <w:name w:val="Table Grid"/>
    <w:basedOn w:val="Tablanormal"/>
    <w:uiPriority w:val="39"/>
    <w:rsid w:val="00507BD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rsid w:val="00507BDF"/>
    <w:rPr>
      <w:rFonts w:ascii="Times New Roman" w:eastAsia="Times New Roman" w:hAnsi="Times New Roman" w:cs="Times New Roman"/>
      <w:sz w:val="20"/>
      <w:szCs w:val="20"/>
    </w:rPr>
  </w:style>
  <w:style w:type="character" w:styleId="Hipervnculo">
    <w:name w:val="Hyperlink"/>
    <w:basedOn w:val="Fuentedeprrafopredeter"/>
    <w:uiPriority w:val="99"/>
    <w:unhideWhenUsed/>
    <w:rsid w:val="000C4382"/>
    <w:rPr>
      <w:color w:val="0563C1" w:themeColor="hyperlink"/>
      <w:u w:val="single"/>
    </w:rPr>
  </w:style>
  <w:style w:type="character" w:customStyle="1" w:styleId="Mencinsinresolver1">
    <w:name w:val="Mención sin resolver1"/>
    <w:basedOn w:val="Fuentedeprrafopredeter"/>
    <w:uiPriority w:val="99"/>
    <w:semiHidden/>
    <w:unhideWhenUsed/>
    <w:rsid w:val="000C4382"/>
    <w:rPr>
      <w:color w:val="605E5C"/>
      <w:shd w:val="clear" w:color="auto" w:fill="E1DFDD"/>
    </w:rPr>
  </w:style>
  <w:style w:type="paragraph" w:styleId="Encabezado">
    <w:name w:val="header"/>
    <w:basedOn w:val="Normal"/>
    <w:link w:val="EncabezadoCar"/>
    <w:uiPriority w:val="99"/>
    <w:unhideWhenUsed/>
    <w:rsid w:val="00BF55BA"/>
    <w:pPr>
      <w:tabs>
        <w:tab w:val="center" w:pos="4419"/>
        <w:tab w:val="right" w:pos="8838"/>
      </w:tabs>
    </w:pPr>
  </w:style>
  <w:style w:type="character" w:customStyle="1" w:styleId="EncabezadoCar">
    <w:name w:val="Encabezado Car"/>
    <w:basedOn w:val="Fuentedeprrafopredeter"/>
    <w:link w:val="Encabezado"/>
    <w:uiPriority w:val="99"/>
    <w:rsid w:val="00BF55BA"/>
  </w:style>
  <w:style w:type="paragraph" w:styleId="Piedepgina">
    <w:name w:val="footer"/>
    <w:basedOn w:val="Normal"/>
    <w:link w:val="PiedepginaCar"/>
    <w:uiPriority w:val="99"/>
    <w:unhideWhenUsed/>
    <w:rsid w:val="00BF55BA"/>
    <w:pPr>
      <w:tabs>
        <w:tab w:val="center" w:pos="4419"/>
        <w:tab w:val="right" w:pos="8838"/>
      </w:tabs>
    </w:pPr>
  </w:style>
  <w:style w:type="character" w:customStyle="1" w:styleId="PiedepginaCar">
    <w:name w:val="Pie de página Car"/>
    <w:basedOn w:val="Fuentedeprrafopredeter"/>
    <w:link w:val="Piedepgina"/>
    <w:uiPriority w:val="99"/>
    <w:rsid w:val="00BF55BA"/>
  </w:style>
  <w:style w:type="paragraph" w:styleId="Textodeglobo">
    <w:name w:val="Balloon Text"/>
    <w:basedOn w:val="Normal"/>
    <w:link w:val="TextodegloboCar"/>
    <w:uiPriority w:val="99"/>
    <w:semiHidden/>
    <w:unhideWhenUsed/>
    <w:rsid w:val="005C6F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6F0C"/>
    <w:rPr>
      <w:rFonts w:ascii="Segoe UI" w:hAnsi="Segoe UI" w:cs="Segoe UI"/>
      <w:sz w:val="18"/>
      <w:szCs w:val="18"/>
    </w:rPr>
  </w:style>
  <w:style w:type="paragraph" w:customStyle="1" w:styleId="P68B1DB1-Normal1">
    <w:name w:val="P68B1DB1-Normal1"/>
    <w:basedOn w:val="Normal"/>
    <w:rPr>
      <w:rFonts w:ascii="Lato" w:hAnsi="Lato"/>
      <w:bCs/>
      <w:sz w:val="22"/>
      <w:szCs w:val="22"/>
      <w:u w:val="single"/>
    </w:rPr>
  </w:style>
  <w:style w:type="paragraph" w:customStyle="1" w:styleId="P68B1DB1-Normal2">
    <w:name w:val="P68B1DB1-Normal2"/>
    <w:basedOn w:val="Normal"/>
    <w:rPr>
      <w:rFonts w:ascii="Lato" w:hAnsi="Lato"/>
      <w:b/>
      <w:sz w:val="36"/>
      <w:szCs w:val="36"/>
    </w:rPr>
  </w:style>
  <w:style w:type="paragraph" w:customStyle="1" w:styleId="P68B1DB1-Normal3">
    <w:name w:val="P68B1DB1-Normal3"/>
    <w:basedOn w:val="Normal"/>
    <w:rPr>
      <w:rFonts w:ascii="Lato" w:hAnsi="Lato"/>
      <w:b/>
      <w:sz w:val="22"/>
      <w:szCs w:val="22"/>
    </w:rPr>
  </w:style>
  <w:style w:type="paragraph" w:customStyle="1" w:styleId="P68B1DB1-Normal4">
    <w:name w:val="P68B1DB1-Normal4"/>
    <w:basedOn w:val="Normal"/>
    <w:rPr>
      <w:rFonts w:ascii="Lato" w:hAnsi="Lato"/>
      <w:sz w:val="22"/>
      <w:szCs w:val="22"/>
    </w:rPr>
  </w:style>
  <w:style w:type="paragraph" w:customStyle="1" w:styleId="P68B1DB1-Prrafodelista5">
    <w:name w:val="P68B1DB1-Prrafodelista5"/>
    <w:basedOn w:val="Prrafodelista"/>
    <w:rPr>
      <w:rFonts w:ascii="Lato" w:hAnsi="Lato"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ve.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ve.e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1652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Urko Garamendi</dc:creator>
  <cp:keywords/>
  <dc:description/>
  <cp:lastModifiedBy>Imanol Zenborain</cp:lastModifiedBy>
  <cp:revision>3</cp:revision>
  <cp:lastPrinted>2023-04-24T07:49:00Z</cp:lastPrinted>
  <dcterms:created xsi:type="dcterms:W3CDTF">2023-04-24T09:51:00Z</dcterms:created>
  <dcterms:modified xsi:type="dcterms:W3CDTF">2023-04-24T10:21:00Z</dcterms:modified>
</cp:coreProperties>
</file>