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E7C90" w14:textId="594937FC" w:rsidR="00552E99" w:rsidRPr="00320FC0" w:rsidRDefault="0014039C">
      <w:pPr>
        <w:rPr>
          <w:rFonts w:ascii="Lato Regular" w:hAnsi="Lato Regular"/>
          <w:sz w:val="20"/>
          <w:u w:val="single"/>
        </w:rPr>
      </w:pPr>
      <w:r w:rsidRPr="00320FC0">
        <w:rPr>
          <w:rFonts w:ascii="Lato Regular" w:hAnsi="Lato Regular"/>
          <w:sz w:val="20"/>
          <w:u w:val="single"/>
        </w:rPr>
        <w:t>Nota de prensa</w:t>
      </w:r>
    </w:p>
    <w:p w14:paraId="02881EBE" w14:textId="77777777" w:rsidR="00EC35D5" w:rsidRDefault="00EC35D5" w:rsidP="00F62658">
      <w:pPr>
        <w:jc w:val="center"/>
        <w:rPr>
          <w:rFonts w:ascii="Lato Regular" w:hAnsi="Lato Regular"/>
          <w:sz w:val="20"/>
        </w:rPr>
      </w:pPr>
    </w:p>
    <w:p w14:paraId="6651DFDC" w14:textId="721B7040" w:rsidR="00DC12C5" w:rsidRDefault="00EC35D5" w:rsidP="00F62658">
      <w:pPr>
        <w:jc w:val="center"/>
        <w:rPr>
          <w:rFonts w:ascii="Lato Regular" w:hAnsi="Lato Regular"/>
          <w:sz w:val="20"/>
        </w:rPr>
      </w:pPr>
      <w:r>
        <w:rPr>
          <w:rFonts w:ascii="Lato Regular" w:hAnsi="Lato Regular"/>
          <w:sz w:val="20"/>
        </w:rPr>
        <w:t>Debate abierto en una jornada organizada por el EVE y Orkestra</w:t>
      </w:r>
    </w:p>
    <w:p w14:paraId="4D8BA4C5" w14:textId="3C7585F4" w:rsidR="00DE2DCE" w:rsidRPr="00F62658" w:rsidRDefault="00EC35D5" w:rsidP="00F62658">
      <w:pPr>
        <w:jc w:val="center"/>
        <w:rPr>
          <w:rFonts w:ascii="Lato Black" w:hAnsi="Lato Black"/>
          <w:sz w:val="36"/>
        </w:rPr>
      </w:pPr>
      <w:r>
        <w:rPr>
          <w:rFonts w:ascii="Lato Black" w:hAnsi="Lato Black"/>
          <w:sz w:val="36"/>
        </w:rPr>
        <w:t xml:space="preserve">La </w:t>
      </w:r>
      <w:r w:rsidR="00A21D1F">
        <w:rPr>
          <w:rFonts w:ascii="Lato Black" w:hAnsi="Lato Black"/>
          <w:sz w:val="36"/>
        </w:rPr>
        <w:t>Transición Energética en Europa:</w:t>
      </w:r>
      <w:r>
        <w:rPr>
          <w:rFonts w:ascii="Lato Black" w:hAnsi="Lato Black"/>
          <w:sz w:val="36"/>
        </w:rPr>
        <w:t xml:space="preserve"> </w:t>
      </w:r>
      <w:r w:rsidR="00A21D1F">
        <w:rPr>
          <w:rFonts w:ascii="Lato Black" w:hAnsi="Lato Black"/>
          <w:sz w:val="36"/>
        </w:rPr>
        <w:t>objetivos  comunes</w:t>
      </w:r>
      <w:r>
        <w:rPr>
          <w:rFonts w:ascii="Lato Black" w:hAnsi="Lato Black"/>
          <w:sz w:val="36"/>
        </w:rPr>
        <w:t xml:space="preserve"> con estrategias propias en cada país</w:t>
      </w:r>
    </w:p>
    <w:p w14:paraId="1B2D24A0" w14:textId="77777777" w:rsidR="00DE2DCE" w:rsidRPr="00E92900" w:rsidRDefault="00DE2DCE" w:rsidP="00EA3B46">
      <w:pPr>
        <w:rPr>
          <w:rFonts w:ascii="Lato Regular" w:hAnsi="Lato Regular"/>
          <w:sz w:val="22"/>
        </w:rPr>
      </w:pPr>
    </w:p>
    <w:p w14:paraId="0DE8AEE3" w14:textId="0F0694CC" w:rsidR="00E17545" w:rsidRPr="00E92900" w:rsidRDefault="006D6AA1" w:rsidP="00E17545">
      <w:pPr>
        <w:pStyle w:val="Prrafodelista"/>
        <w:numPr>
          <w:ilvl w:val="0"/>
          <w:numId w:val="1"/>
        </w:numPr>
        <w:rPr>
          <w:rFonts w:ascii="Lato Regular" w:hAnsi="Lato Regular"/>
          <w:sz w:val="22"/>
        </w:rPr>
      </w:pPr>
      <w:r>
        <w:rPr>
          <w:rFonts w:ascii="Lato Regular" w:hAnsi="Lato Regular"/>
          <w:sz w:val="22"/>
        </w:rPr>
        <w:t>Expertos en la T</w:t>
      </w:r>
      <w:r w:rsidR="00E17545" w:rsidRPr="00E92900">
        <w:rPr>
          <w:rFonts w:ascii="Lato Regular" w:hAnsi="Lato Regular"/>
          <w:sz w:val="22"/>
        </w:rPr>
        <w:t xml:space="preserve">ransición </w:t>
      </w:r>
      <w:r>
        <w:rPr>
          <w:rFonts w:ascii="Lato Regular" w:hAnsi="Lato Regular"/>
          <w:sz w:val="22"/>
        </w:rPr>
        <w:t xml:space="preserve">Energética </w:t>
      </w:r>
      <w:r w:rsidR="00E17545" w:rsidRPr="00E92900">
        <w:rPr>
          <w:rFonts w:ascii="Lato Regular" w:hAnsi="Lato Regular"/>
          <w:sz w:val="22"/>
        </w:rPr>
        <w:t>de Noruega, Alemania, Francia y Reino Unido pre</w:t>
      </w:r>
      <w:r>
        <w:rPr>
          <w:rFonts w:ascii="Lato Regular" w:hAnsi="Lato Regular"/>
          <w:sz w:val="22"/>
        </w:rPr>
        <w:t>sentado</w:t>
      </w:r>
      <w:r w:rsidR="00E17545" w:rsidRPr="00E92900">
        <w:rPr>
          <w:rFonts w:ascii="Lato Regular" w:hAnsi="Lato Regular"/>
          <w:sz w:val="22"/>
        </w:rPr>
        <w:t xml:space="preserve"> los aspectos principales de sus re</w:t>
      </w:r>
      <w:r w:rsidR="004F3056">
        <w:rPr>
          <w:rFonts w:ascii="Lato Regular" w:hAnsi="Lato Regular"/>
          <w:sz w:val="22"/>
        </w:rPr>
        <w:t>spectivas políticas energéticas.</w:t>
      </w:r>
    </w:p>
    <w:p w14:paraId="5E4BDA08" w14:textId="45F22A20" w:rsidR="00E17545" w:rsidRPr="009F7468" w:rsidRDefault="00E17545" w:rsidP="00E17545">
      <w:pPr>
        <w:pStyle w:val="Prrafodelista"/>
        <w:numPr>
          <w:ilvl w:val="0"/>
          <w:numId w:val="1"/>
        </w:numPr>
        <w:rPr>
          <w:rFonts w:ascii="Lato Regular" w:hAnsi="Lato Regular"/>
          <w:sz w:val="22"/>
        </w:rPr>
      </w:pPr>
      <w:r w:rsidRPr="00E92900">
        <w:rPr>
          <w:rFonts w:ascii="Lato Regular" w:hAnsi="Lato Regular"/>
          <w:sz w:val="22"/>
        </w:rPr>
        <w:t xml:space="preserve">El objetivo </w:t>
      </w:r>
      <w:r w:rsidR="00D80CC4">
        <w:rPr>
          <w:rFonts w:ascii="Lato Regular" w:hAnsi="Lato Regular"/>
          <w:sz w:val="22"/>
        </w:rPr>
        <w:t xml:space="preserve">de </w:t>
      </w:r>
      <w:r w:rsidRPr="00E92900">
        <w:rPr>
          <w:rFonts w:ascii="Lato Regular" w:hAnsi="Lato Regular"/>
          <w:sz w:val="22"/>
        </w:rPr>
        <w:t xml:space="preserve">descarbonización del sistema energético es común, pero las estrategias desarrolladas </w:t>
      </w:r>
      <w:r w:rsidR="00F62658" w:rsidRPr="00E92900">
        <w:rPr>
          <w:rFonts w:ascii="Lato Regular" w:hAnsi="Lato Regular"/>
          <w:sz w:val="22"/>
        </w:rPr>
        <w:t xml:space="preserve">para lograrlo son </w:t>
      </w:r>
      <w:r w:rsidR="00291549">
        <w:rPr>
          <w:rFonts w:ascii="Lato Regular" w:hAnsi="Lato Regular"/>
          <w:sz w:val="22"/>
        </w:rPr>
        <w:t>propias de cada país</w:t>
      </w:r>
      <w:r w:rsidR="00F62658" w:rsidRPr="00E92900">
        <w:rPr>
          <w:rFonts w:ascii="Lato Regular" w:hAnsi="Lato Regular"/>
          <w:sz w:val="22"/>
        </w:rPr>
        <w:t xml:space="preserve">, debido a la </w:t>
      </w:r>
      <w:r w:rsidR="00F62658" w:rsidRPr="009F7468">
        <w:rPr>
          <w:rFonts w:ascii="Lato Regular" w:hAnsi="Lato Regular"/>
          <w:sz w:val="22"/>
        </w:rPr>
        <w:t xml:space="preserve">diversidad de coyunturas existentes en cada </w:t>
      </w:r>
      <w:r w:rsidR="00A21D1F">
        <w:rPr>
          <w:rFonts w:ascii="Lato Regular" w:hAnsi="Lato Regular"/>
          <w:sz w:val="22"/>
        </w:rPr>
        <w:t>entorno</w:t>
      </w:r>
      <w:r w:rsidR="00F62658" w:rsidRPr="009F7468">
        <w:rPr>
          <w:rFonts w:ascii="Lato Regular" w:hAnsi="Lato Regular"/>
          <w:sz w:val="22"/>
        </w:rPr>
        <w:t>.</w:t>
      </w:r>
    </w:p>
    <w:p w14:paraId="1B860366" w14:textId="6D175C11" w:rsidR="00F62658" w:rsidRPr="009F7468" w:rsidRDefault="00291549" w:rsidP="00E17545">
      <w:pPr>
        <w:pStyle w:val="Prrafodelista"/>
        <w:numPr>
          <w:ilvl w:val="0"/>
          <w:numId w:val="1"/>
        </w:numPr>
        <w:rPr>
          <w:rFonts w:ascii="Lato Regular" w:hAnsi="Lato Regular"/>
          <w:sz w:val="22"/>
        </w:rPr>
      </w:pPr>
      <w:r w:rsidRPr="009F7468">
        <w:rPr>
          <w:rFonts w:ascii="Lato Regular" w:hAnsi="Lato Regular"/>
          <w:sz w:val="22"/>
        </w:rPr>
        <w:t xml:space="preserve">Euskadi basa su transición energética en un cambio paulatino del sistema energético </w:t>
      </w:r>
      <w:r w:rsidR="00A21D1F">
        <w:rPr>
          <w:rFonts w:ascii="Lato Regular" w:hAnsi="Lato Regular"/>
          <w:sz w:val="22"/>
        </w:rPr>
        <w:t>a través de</w:t>
      </w:r>
      <w:r w:rsidRPr="009F7468">
        <w:rPr>
          <w:rFonts w:ascii="Lato Regular" w:hAnsi="Lato Regular"/>
          <w:sz w:val="22"/>
        </w:rPr>
        <w:t xml:space="preserve"> los objetivos </w:t>
      </w:r>
      <w:r w:rsidR="009F7468">
        <w:rPr>
          <w:rFonts w:ascii="Lato Regular" w:hAnsi="Lato Regular"/>
          <w:sz w:val="22"/>
        </w:rPr>
        <w:t>establecidos</w:t>
      </w:r>
      <w:r w:rsidRPr="009F7468">
        <w:rPr>
          <w:rFonts w:ascii="Lato Regular" w:hAnsi="Lato Regular"/>
          <w:sz w:val="22"/>
        </w:rPr>
        <w:t xml:space="preserve"> en la E</w:t>
      </w:r>
      <w:r w:rsidR="00A21D1F">
        <w:rPr>
          <w:rFonts w:ascii="Lato Regular" w:hAnsi="Lato Regular"/>
          <w:sz w:val="22"/>
        </w:rPr>
        <w:t>strategia Energética de Euskadi con una fuerte apuesta por las renovables, la eficiencia y el gas natural como energía de acompañamiento.</w:t>
      </w:r>
    </w:p>
    <w:p w14:paraId="6C8DBDD6" w14:textId="77777777" w:rsidR="009C56B1" w:rsidRPr="00F62658" w:rsidRDefault="009C56B1">
      <w:pPr>
        <w:rPr>
          <w:rFonts w:ascii="Lato Regular" w:hAnsi="Lato Regular"/>
          <w:sz w:val="22"/>
          <w:szCs w:val="22"/>
        </w:rPr>
      </w:pPr>
    </w:p>
    <w:p w14:paraId="706FC50B" w14:textId="2A46A1F5" w:rsidR="00851505" w:rsidRPr="00851505" w:rsidRDefault="009C56B1">
      <w:pPr>
        <w:rPr>
          <w:rFonts w:ascii="Lato Regular" w:hAnsi="Lato Regular"/>
          <w:b/>
          <w:sz w:val="22"/>
          <w:szCs w:val="22"/>
        </w:rPr>
      </w:pPr>
      <w:r w:rsidRPr="00F62658">
        <w:rPr>
          <w:rFonts w:ascii="Lato Regular" w:hAnsi="Lato Regular"/>
          <w:sz w:val="22"/>
          <w:szCs w:val="22"/>
        </w:rPr>
        <w:t xml:space="preserve">Bilbao, </w:t>
      </w:r>
      <w:r w:rsidR="00617DAB" w:rsidRPr="00F62658">
        <w:rPr>
          <w:rFonts w:ascii="Lato Regular" w:hAnsi="Lato Regular"/>
          <w:sz w:val="22"/>
          <w:szCs w:val="22"/>
        </w:rPr>
        <w:t>14</w:t>
      </w:r>
      <w:r w:rsidRPr="00F62658">
        <w:rPr>
          <w:rFonts w:ascii="Lato Regular" w:hAnsi="Lato Regular"/>
          <w:sz w:val="22"/>
          <w:szCs w:val="22"/>
        </w:rPr>
        <w:t xml:space="preserve"> de noviembre de 2019. </w:t>
      </w:r>
      <w:r w:rsidR="00617DAB" w:rsidRPr="00F62658">
        <w:rPr>
          <w:rFonts w:ascii="Lato Regular" w:hAnsi="Lato Regular"/>
          <w:sz w:val="22"/>
          <w:szCs w:val="22"/>
        </w:rPr>
        <w:t xml:space="preserve"> – </w:t>
      </w:r>
      <w:r w:rsidR="00851505" w:rsidRPr="00851505">
        <w:rPr>
          <w:rFonts w:ascii="Lato Regular" w:hAnsi="Lato Regular"/>
          <w:b/>
          <w:sz w:val="22"/>
          <w:szCs w:val="22"/>
        </w:rPr>
        <w:t>El auditorio del Museo Guggenhei</w:t>
      </w:r>
      <w:r w:rsidR="00BC67C4">
        <w:rPr>
          <w:rFonts w:ascii="Lato Regular" w:hAnsi="Lato Regular"/>
          <w:b/>
          <w:sz w:val="22"/>
          <w:szCs w:val="22"/>
        </w:rPr>
        <w:t>m ha acogido la celebración de un</w:t>
      </w:r>
      <w:r w:rsidR="00851505" w:rsidRPr="00851505">
        <w:rPr>
          <w:rFonts w:ascii="Lato Regular" w:hAnsi="Lato Regular"/>
          <w:b/>
          <w:sz w:val="22"/>
          <w:szCs w:val="22"/>
        </w:rPr>
        <w:t>a jornada sobre Transici</w:t>
      </w:r>
      <w:r w:rsidR="004F3056">
        <w:rPr>
          <w:rFonts w:ascii="Lato Regular" w:hAnsi="Lato Regular"/>
          <w:b/>
          <w:sz w:val="22"/>
          <w:szCs w:val="22"/>
        </w:rPr>
        <w:t xml:space="preserve">ón Energética organizada por el Ente Vasco de la Energía </w:t>
      </w:r>
      <w:r w:rsidR="00851505" w:rsidRPr="00851505">
        <w:rPr>
          <w:rFonts w:ascii="Lato Regular" w:hAnsi="Lato Regular"/>
          <w:b/>
          <w:sz w:val="22"/>
          <w:szCs w:val="22"/>
        </w:rPr>
        <w:t>y Orkestra</w:t>
      </w:r>
      <w:r w:rsidR="004F3056">
        <w:rPr>
          <w:rFonts w:ascii="Lato Regular" w:hAnsi="Lato Regular"/>
          <w:b/>
          <w:sz w:val="22"/>
          <w:szCs w:val="22"/>
        </w:rPr>
        <w:t>-Instituto Vasco de Competitividad</w:t>
      </w:r>
      <w:r w:rsidR="00851505" w:rsidRPr="00851505">
        <w:rPr>
          <w:rFonts w:ascii="Lato Regular" w:hAnsi="Lato Regular"/>
          <w:b/>
          <w:sz w:val="22"/>
          <w:szCs w:val="22"/>
        </w:rPr>
        <w:t xml:space="preserve">, que ha contado con la participación de expertos de países referenciales </w:t>
      </w:r>
      <w:r w:rsidR="004F3056">
        <w:rPr>
          <w:rFonts w:ascii="Lato Regular" w:hAnsi="Lato Regular"/>
          <w:b/>
          <w:sz w:val="22"/>
          <w:szCs w:val="22"/>
        </w:rPr>
        <w:t>de Europa en materia de T</w:t>
      </w:r>
      <w:r w:rsidR="00851505" w:rsidRPr="00851505">
        <w:rPr>
          <w:rFonts w:ascii="Lato Regular" w:hAnsi="Lato Regular"/>
          <w:b/>
          <w:sz w:val="22"/>
          <w:szCs w:val="22"/>
        </w:rPr>
        <w:t>ransición</w:t>
      </w:r>
      <w:r w:rsidR="00FC7FF2">
        <w:rPr>
          <w:rFonts w:ascii="Lato Regular" w:hAnsi="Lato Regular"/>
          <w:b/>
          <w:sz w:val="22"/>
          <w:szCs w:val="22"/>
        </w:rPr>
        <w:t xml:space="preserve"> como son Noruega, Alemania, Francia y Reino Unido</w:t>
      </w:r>
      <w:r w:rsidR="00005673">
        <w:rPr>
          <w:rFonts w:ascii="Lato Regular" w:hAnsi="Lato Regular"/>
          <w:b/>
          <w:sz w:val="22"/>
          <w:szCs w:val="22"/>
        </w:rPr>
        <w:t>.</w:t>
      </w:r>
      <w:r w:rsidR="00851505" w:rsidRPr="00851505">
        <w:rPr>
          <w:rFonts w:ascii="Lato Regular" w:hAnsi="Lato Regular"/>
          <w:b/>
          <w:sz w:val="22"/>
          <w:szCs w:val="22"/>
        </w:rPr>
        <w:t xml:space="preserve"> </w:t>
      </w:r>
      <w:r w:rsidR="00005673">
        <w:rPr>
          <w:rFonts w:ascii="Lato Regular" w:hAnsi="Lato Regular"/>
          <w:b/>
          <w:sz w:val="22"/>
          <w:szCs w:val="22"/>
        </w:rPr>
        <w:t>Más de 300 asistentes al evento han completado el 100% del a</w:t>
      </w:r>
      <w:r w:rsidR="00851505" w:rsidRPr="00851505">
        <w:rPr>
          <w:rFonts w:ascii="Lato Regular" w:hAnsi="Lato Regular"/>
          <w:b/>
          <w:sz w:val="22"/>
          <w:szCs w:val="22"/>
        </w:rPr>
        <w:t>foro disponible.</w:t>
      </w:r>
    </w:p>
    <w:p w14:paraId="0A0CD43F" w14:textId="77777777" w:rsidR="003D33FF" w:rsidRPr="007E6832" w:rsidRDefault="003D33FF">
      <w:pPr>
        <w:rPr>
          <w:rFonts w:ascii="Lato Regular" w:hAnsi="Lato Regular"/>
          <w:sz w:val="20"/>
          <w:szCs w:val="20"/>
        </w:rPr>
      </w:pPr>
    </w:p>
    <w:p w14:paraId="31A18472" w14:textId="21F356CC" w:rsidR="001C5E7B" w:rsidRPr="007E6832" w:rsidRDefault="00BC67C4">
      <w:pPr>
        <w:rPr>
          <w:rFonts w:ascii="Lato Regular" w:hAnsi="Lato Regular"/>
          <w:sz w:val="20"/>
          <w:szCs w:val="20"/>
        </w:rPr>
      </w:pPr>
      <w:r w:rsidRPr="007E6832">
        <w:rPr>
          <w:rFonts w:ascii="Lato Regular" w:hAnsi="Lato Regular"/>
          <w:sz w:val="20"/>
          <w:szCs w:val="20"/>
        </w:rPr>
        <w:t>La jornada ha sido inaugurada por el</w:t>
      </w:r>
      <w:r w:rsidR="004F3056" w:rsidRPr="007E6832">
        <w:rPr>
          <w:rFonts w:ascii="Lato Regular" w:hAnsi="Lato Regular"/>
          <w:sz w:val="20"/>
          <w:szCs w:val="20"/>
        </w:rPr>
        <w:t xml:space="preserve"> director del Ente Vasco de la Energía, </w:t>
      </w:r>
      <w:r w:rsidR="004F3056" w:rsidRPr="00B53E46">
        <w:rPr>
          <w:rFonts w:ascii="Lato Regular" w:hAnsi="Lato Regular"/>
          <w:b/>
          <w:sz w:val="20"/>
          <w:szCs w:val="20"/>
        </w:rPr>
        <w:t>Iñigo Ansola Kareaga,</w:t>
      </w:r>
      <w:r w:rsidR="004F3056" w:rsidRPr="007E6832">
        <w:rPr>
          <w:rFonts w:ascii="Lato Regular" w:hAnsi="Lato Regular"/>
          <w:sz w:val="20"/>
          <w:szCs w:val="20"/>
        </w:rPr>
        <w:t xml:space="preserve"> </w:t>
      </w:r>
      <w:r w:rsidRPr="007E6832">
        <w:rPr>
          <w:rFonts w:ascii="Lato Regular" w:hAnsi="Lato Regular"/>
          <w:sz w:val="20"/>
          <w:szCs w:val="20"/>
        </w:rPr>
        <w:t>que ha abierto</w:t>
      </w:r>
      <w:r w:rsidR="004F3056" w:rsidRPr="007E6832">
        <w:rPr>
          <w:rFonts w:ascii="Lato Regular" w:hAnsi="Lato Regular"/>
          <w:sz w:val="20"/>
          <w:szCs w:val="20"/>
        </w:rPr>
        <w:t xml:space="preserve"> e</w:t>
      </w:r>
      <w:r w:rsidR="00493BC0">
        <w:rPr>
          <w:rFonts w:ascii="Lato Regular" w:hAnsi="Lato Regular"/>
          <w:sz w:val="20"/>
          <w:szCs w:val="20"/>
        </w:rPr>
        <w:t>l debate con</w:t>
      </w:r>
      <w:r w:rsidR="004F3056" w:rsidRPr="007E6832">
        <w:rPr>
          <w:rFonts w:ascii="Lato Regular" w:hAnsi="Lato Regular"/>
          <w:sz w:val="20"/>
          <w:szCs w:val="20"/>
        </w:rPr>
        <w:t xml:space="preserve"> la pregunta sobre la que ha</w:t>
      </w:r>
      <w:r w:rsidRPr="007E6832">
        <w:rPr>
          <w:rFonts w:ascii="Lato Regular" w:hAnsi="Lato Regular"/>
          <w:sz w:val="20"/>
          <w:szCs w:val="20"/>
        </w:rPr>
        <w:t>n pivotado tod</w:t>
      </w:r>
      <w:r w:rsidR="004F3056" w:rsidRPr="007E6832">
        <w:rPr>
          <w:rFonts w:ascii="Lato Regular" w:hAnsi="Lato Regular"/>
          <w:sz w:val="20"/>
          <w:szCs w:val="20"/>
        </w:rPr>
        <w:t>as</w:t>
      </w:r>
      <w:r w:rsidRPr="007E6832">
        <w:rPr>
          <w:rFonts w:ascii="Lato Regular" w:hAnsi="Lato Regular"/>
          <w:sz w:val="20"/>
          <w:szCs w:val="20"/>
        </w:rPr>
        <w:t xml:space="preserve"> las</w:t>
      </w:r>
      <w:r w:rsidR="004F3056" w:rsidRPr="007E6832">
        <w:rPr>
          <w:rFonts w:ascii="Lato Regular" w:hAnsi="Lato Regular"/>
          <w:sz w:val="20"/>
          <w:szCs w:val="20"/>
        </w:rPr>
        <w:t xml:space="preserve"> reflexiones de la jornada, </w:t>
      </w:r>
      <w:r w:rsidR="004F3056" w:rsidRPr="007E6832">
        <w:rPr>
          <w:rFonts w:ascii="Lato Regular" w:hAnsi="Lato Regular"/>
          <w:b/>
          <w:sz w:val="20"/>
          <w:szCs w:val="20"/>
        </w:rPr>
        <w:t>¿Existe un modelo de Transición Energética para Europa?</w:t>
      </w:r>
      <w:r w:rsidR="00C16CCE" w:rsidRPr="007E6832">
        <w:rPr>
          <w:rFonts w:ascii="Lato Regular" w:hAnsi="Lato Regular"/>
          <w:sz w:val="20"/>
          <w:szCs w:val="20"/>
        </w:rPr>
        <w:t xml:space="preserve"> En su intervención </w:t>
      </w:r>
      <w:r w:rsidR="004F3056" w:rsidRPr="007E6832">
        <w:rPr>
          <w:rFonts w:ascii="Lato Regular" w:hAnsi="Lato Regular"/>
          <w:sz w:val="20"/>
          <w:szCs w:val="20"/>
        </w:rPr>
        <w:t xml:space="preserve">ha apuntado el hecho de que sí existen objetivos comunes para todos los países </w:t>
      </w:r>
      <w:r w:rsidRPr="007E6832">
        <w:rPr>
          <w:rFonts w:ascii="Lato Regular" w:hAnsi="Lato Regular"/>
          <w:sz w:val="20"/>
          <w:szCs w:val="20"/>
        </w:rPr>
        <w:t xml:space="preserve">en materia de sostenibilidad energética </w:t>
      </w:r>
      <w:r w:rsidR="004F3056" w:rsidRPr="007E6832">
        <w:rPr>
          <w:rFonts w:ascii="Lato Regular" w:hAnsi="Lato Regular"/>
          <w:sz w:val="20"/>
          <w:szCs w:val="20"/>
        </w:rPr>
        <w:t>establecidos de</w:t>
      </w:r>
      <w:r w:rsidRPr="007E6832">
        <w:rPr>
          <w:rFonts w:ascii="Lato Regular" w:hAnsi="Lato Regular"/>
          <w:sz w:val="20"/>
          <w:szCs w:val="20"/>
        </w:rPr>
        <w:t>sde instancias europeas pero</w:t>
      </w:r>
      <w:r w:rsidR="004F3056" w:rsidRPr="007E6832">
        <w:rPr>
          <w:rFonts w:ascii="Lato Regular" w:hAnsi="Lato Regular"/>
          <w:sz w:val="20"/>
          <w:szCs w:val="20"/>
        </w:rPr>
        <w:t>, sin embargo, “cada país necesita plantear una estrategia única e intransferible para alcanzarlos ya que cada cual parte de una realidad y coyuntura energética con características demográficas, territoriales, económicas  y políticas propias”.</w:t>
      </w:r>
      <w:r w:rsidRPr="007E6832">
        <w:rPr>
          <w:rFonts w:ascii="Lato Regular" w:hAnsi="Lato Regular"/>
          <w:sz w:val="20"/>
          <w:szCs w:val="20"/>
        </w:rPr>
        <w:t xml:space="preserve"> Asimismo, ha apuntado que en</w:t>
      </w:r>
      <w:r w:rsidR="006C2109" w:rsidRPr="007E6832">
        <w:rPr>
          <w:rFonts w:ascii="Lato Regular" w:hAnsi="Lato Regular"/>
          <w:sz w:val="20"/>
          <w:szCs w:val="20"/>
        </w:rPr>
        <w:t xml:space="preserve"> lo que a la Transición Energética de</w:t>
      </w:r>
      <w:r w:rsidRPr="007E6832">
        <w:rPr>
          <w:rFonts w:ascii="Lato Regular" w:hAnsi="Lato Regular"/>
          <w:sz w:val="20"/>
          <w:szCs w:val="20"/>
        </w:rPr>
        <w:t xml:space="preserve"> Euskadi </w:t>
      </w:r>
      <w:r w:rsidR="006C2109" w:rsidRPr="007E6832">
        <w:rPr>
          <w:rFonts w:ascii="Lato Regular" w:hAnsi="Lato Regular"/>
          <w:sz w:val="20"/>
          <w:szCs w:val="20"/>
        </w:rPr>
        <w:t xml:space="preserve">se refiere, </w:t>
      </w:r>
      <w:r w:rsidRPr="007E6832">
        <w:rPr>
          <w:rFonts w:ascii="Lato Regular" w:hAnsi="Lato Regular"/>
          <w:sz w:val="20"/>
          <w:szCs w:val="20"/>
        </w:rPr>
        <w:t>no se espera una evolución disruptiva sino paulatina del sistema energético, de forma que el tejido productivo pueda adaptarse y mantener las cotas de generación de riqueza, conocimiento y empleo.</w:t>
      </w:r>
      <w:r w:rsidR="009F7468" w:rsidRPr="007E6832">
        <w:rPr>
          <w:rFonts w:ascii="Lato Regular" w:hAnsi="Lato Regular"/>
          <w:sz w:val="20"/>
          <w:szCs w:val="20"/>
        </w:rPr>
        <w:t xml:space="preserve">  Para ello, la hoja de ruta es la Estrategia Energética de Euskadi, un documento con la vis</w:t>
      </w:r>
      <w:r w:rsidR="008A111A">
        <w:rPr>
          <w:rFonts w:ascii="Lato Regular" w:hAnsi="Lato Regular"/>
          <w:sz w:val="20"/>
          <w:szCs w:val="20"/>
        </w:rPr>
        <w:t>ta puesta en el largo plazo, y</w:t>
      </w:r>
      <w:r w:rsidR="009F7468" w:rsidRPr="007E6832">
        <w:rPr>
          <w:rFonts w:ascii="Lato Regular" w:hAnsi="Lato Regular"/>
          <w:sz w:val="20"/>
          <w:szCs w:val="20"/>
        </w:rPr>
        <w:t xml:space="preserve"> unos </w:t>
      </w:r>
      <w:r w:rsidR="008A111A">
        <w:rPr>
          <w:rFonts w:ascii="Lato Regular" w:hAnsi="Lato Regular"/>
          <w:sz w:val="20"/>
          <w:szCs w:val="20"/>
        </w:rPr>
        <w:t>ambiciosos objetivos</w:t>
      </w:r>
      <w:r w:rsidR="009F7468" w:rsidRPr="007E6832">
        <w:rPr>
          <w:rFonts w:ascii="Lato Regular" w:hAnsi="Lato Regular"/>
          <w:sz w:val="20"/>
          <w:szCs w:val="20"/>
        </w:rPr>
        <w:t xml:space="preserve"> en eficiencia energética y </w:t>
      </w:r>
      <w:r w:rsidR="007C40B0" w:rsidRPr="007E6832">
        <w:rPr>
          <w:rFonts w:ascii="Lato Regular" w:hAnsi="Lato Regular"/>
          <w:sz w:val="20"/>
          <w:szCs w:val="20"/>
        </w:rPr>
        <w:t>ren</w:t>
      </w:r>
      <w:r w:rsidR="003F7DD2">
        <w:rPr>
          <w:rFonts w:ascii="Lato Regular" w:hAnsi="Lato Regular"/>
          <w:sz w:val="20"/>
          <w:szCs w:val="20"/>
        </w:rPr>
        <w:t>ovables.</w:t>
      </w:r>
    </w:p>
    <w:p w14:paraId="2E60812C" w14:textId="77777777" w:rsidR="005B32CA" w:rsidRPr="007E6832" w:rsidRDefault="005B32CA">
      <w:pPr>
        <w:rPr>
          <w:rFonts w:ascii="Lato Regular" w:hAnsi="Lato Regular"/>
          <w:sz w:val="20"/>
          <w:szCs w:val="20"/>
        </w:rPr>
      </w:pPr>
    </w:p>
    <w:p w14:paraId="319491A1" w14:textId="7118F3A2" w:rsidR="00291549" w:rsidRPr="007E6832" w:rsidRDefault="00C16CCE">
      <w:pPr>
        <w:rPr>
          <w:rFonts w:ascii="Lato Regular" w:hAnsi="Lato Regular"/>
          <w:sz w:val="20"/>
          <w:szCs w:val="20"/>
        </w:rPr>
      </w:pPr>
      <w:r w:rsidRPr="007E6832">
        <w:rPr>
          <w:rFonts w:ascii="Lato Regular" w:hAnsi="Lato Regular"/>
          <w:sz w:val="20"/>
          <w:szCs w:val="20"/>
        </w:rPr>
        <w:t xml:space="preserve">La ponencia principal de la jornada ha estado a cargo de </w:t>
      </w:r>
      <w:r w:rsidRPr="00B53E46">
        <w:rPr>
          <w:rFonts w:ascii="Lato Regular" w:hAnsi="Lato Regular"/>
          <w:b/>
          <w:sz w:val="20"/>
          <w:szCs w:val="20"/>
        </w:rPr>
        <w:t>Eirik Waernes</w:t>
      </w:r>
      <w:r w:rsidRPr="007E6832">
        <w:rPr>
          <w:rFonts w:ascii="Lato Regular" w:hAnsi="Lato Regular"/>
          <w:sz w:val="20"/>
          <w:szCs w:val="20"/>
        </w:rPr>
        <w:t xml:space="preserve">, vicepresidente senior y economista jefe de la energética noruega Equinor, </w:t>
      </w:r>
      <w:r w:rsidR="00D67D3A" w:rsidRPr="007E6832">
        <w:rPr>
          <w:rFonts w:ascii="Lato Regular" w:hAnsi="Lato Regular"/>
          <w:sz w:val="20"/>
          <w:szCs w:val="20"/>
        </w:rPr>
        <w:t>que ha hecho un análisis pormenorizado de la situación energética de su país y los retos a los que debe hacer frente en su Transición Energética. Noruega es un país con una alta penetración eléctrica, cercana al 50% res</w:t>
      </w:r>
      <w:r w:rsidR="00810EEC">
        <w:rPr>
          <w:rFonts w:ascii="Lato Regular" w:hAnsi="Lato Regular"/>
          <w:sz w:val="20"/>
          <w:szCs w:val="20"/>
        </w:rPr>
        <w:t>pecto a la media del 20% global</w:t>
      </w:r>
      <w:r w:rsidR="00291549" w:rsidRPr="007E6832">
        <w:rPr>
          <w:rFonts w:ascii="Lato Regular" w:hAnsi="Lato Regular"/>
          <w:sz w:val="20"/>
          <w:szCs w:val="20"/>
        </w:rPr>
        <w:t>, debida en gran medida a una potente producción renovable hídrica. Sin embargo, se da la paradoja de que mientras cuenta con un sistema energético con una importante base renovable, también se trata de un líder productor y exportador de productos petrolíferos y de gas natural, con importantes reservas y recursos aún por descubrir.</w:t>
      </w:r>
    </w:p>
    <w:p w14:paraId="744C5CE7" w14:textId="77777777" w:rsidR="001B00F9" w:rsidRPr="007E6832" w:rsidRDefault="001B00F9">
      <w:pPr>
        <w:rPr>
          <w:rFonts w:ascii="Lato Regular" w:hAnsi="Lato Regular"/>
          <w:sz w:val="20"/>
          <w:szCs w:val="20"/>
        </w:rPr>
      </w:pPr>
    </w:p>
    <w:p w14:paraId="3094FF42" w14:textId="098CE211" w:rsidR="001B00F9" w:rsidRPr="007E6832" w:rsidRDefault="001B00F9">
      <w:pPr>
        <w:rPr>
          <w:rFonts w:ascii="Lato Regular" w:hAnsi="Lato Regular"/>
          <w:sz w:val="20"/>
          <w:szCs w:val="20"/>
        </w:rPr>
      </w:pPr>
      <w:r w:rsidRPr="007E6832">
        <w:rPr>
          <w:rFonts w:ascii="Lato Regular" w:hAnsi="Lato Regular"/>
          <w:sz w:val="20"/>
          <w:szCs w:val="20"/>
        </w:rPr>
        <w:t>Seguidamente</w:t>
      </w:r>
      <w:r w:rsidR="00B53E46">
        <w:rPr>
          <w:rFonts w:ascii="Lato Regular" w:hAnsi="Lato Regular"/>
          <w:sz w:val="20"/>
          <w:szCs w:val="20"/>
        </w:rPr>
        <w:t>,</w:t>
      </w:r>
      <w:r w:rsidRPr="007E6832">
        <w:rPr>
          <w:rFonts w:ascii="Lato Regular" w:hAnsi="Lato Regular"/>
          <w:sz w:val="20"/>
          <w:szCs w:val="20"/>
        </w:rPr>
        <w:t xml:space="preserve"> la mesa de debate</w:t>
      </w:r>
      <w:r w:rsidR="00B53E46">
        <w:rPr>
          <w:rFonts w:ascii="Lato Regular" w:hAnsi="Lato Regular"/>
          <w:sz w:val="20"/>
          <w:szCs w:val="20"/>
        </w:rPr>
        <w:t xml:space="preserve"> </w:t>
      </w:r>
      <w:r w:rsidR="00363CBA">
        <w:rPr>
          <w:rFonts w:ascii="Lato Regular" w:hAnsi="Lato Regular"/>
          <w:sz w:val="20"/>
          <w:szCs w:val="20"/>
        </w:rPr>
        <w:t xml:space="preserve">moderada por </w:t>
      </w:r>
      <w:bookmarkStart w:id="0" w:name="_GoBack"/>
      <w:r w:rsidR="00363CBA" w:rsidRPr="000B3C16">
        <w:rPr>
          <w:rFonts w:ascii="Lato Regular" w:hAnsi="Lato Regular"/>
          <w:b/>
          <w:sz w:val="20"/>
          <w:szCs w:val="20"/>
        </w:rPr>
        <w:t xml:space="preserve">Jorge Fernández, </w:t>
      </w:r>
      <w:r w:rsidR="00786889" w:rsidRPr="000B3C16">
        <w:rPr>
          <w:rFonts w:ascii="Lato Regular" w:hAnsi="Lato Regular"/>
          <w:b/>
          <w:sz w:val="20"/>
          <w:szCs w:val="20"/>
        </w:rPr>
        <w:t>investigador y coordinador del área de energía de Orkestra-Instituto Vasco de Competitividad</w:t>
      </w:r>
      <w:r w:rsidR="006221A0">
        <w:rPr>
          <w:rFonts w:ascii="Lato Regular" w:hAnsi="Lato Regular"/>
          <w:sz w:val="20"/>
          <w:szCs w:val="20"/>
        </w:rPr>
        <w:t xml:space="preserve"> </w:t>
      </w:r>
      <w:bookmarkEnd w:id="0"/>
      <w:r w:rsidR="006221A0">
        <w:rPr>
          <w:rFonts w:ascii="Lato Regular" w:hAnsi="Lato Regular"/>
          <w:sz w:val="20"/>
          <w:szCs w:val="20"/>
        </w:rPr>
        <w:t xml:space="preserve">que ha impulsado investigaciones sobre la Transición en estos tres países, </w:t>
      </w:r>
      <w:r w:rsidRPr="007E6832">
        <w:rPr>
          <w:rFonts w:ascii="Lato Regular" w:hAnsi="Lato Regular"/>
          <w:sz w:val="20"/>
          <w:szCs w:val="20"/>
        </w:rPr>
        <w:t xml:space="preserve">ha estado compuesta por representantes </w:t>
      </w:r>
      <w:r w:rsidRPr="007E6832">
        <w:rPr>
          <w:rFonts w:ascii="Lato Regular" w:hAnsi="Lato Regular"/>
          <w:sz w:val="20"/>
          <w:szCs w:val="20"/>
        </w:rPr>
        <w:lastRenderedPageBreak/>
        <w:t>institucionales de la Embajadas de Alemania, Francia y Reino Unido, que han dado una visión singular de la situación de cada uno de esto</w:t>
      </w:r>
      <w:r w:rsidR="006F5CF0">
        <w:rPr>
          <w:rFonts w:ascii="Lato Regular" w:hAnsi="Lato Regular"/>
          <w:sz w:val="20"/>
          <w:szCs w:val="20"/>
        </w:rPr>
        <w:t>s países y las Estrategias elegi</w:t>
      </w:r>
      <w:r w:rsidRPr="007E6832">
        <w:rPr>
          <w:rFonts w:ascii="Lato Regular" w:hAnsi="Lato Regular"/>
          <w:sz w:val="20"/>
          <w:szCs w:val="20"/>
        </w:rPr>
        <w:t>das por cada unos de ellos para cumplir con los objetivos de descarbonización.</w:t>
      </w:r>
    </w:p>
    <w:p w14:paraId="542D19B6" w14:textId="77777777" w:rsidR="001B00F9" w:rsidRPr="007E6832" w:rsidRDefault="001B00F9">
      <w:pPr>
        <w:rPr>
          <w:rFonts w:ascii="Lato Regular" w:hAnsi="Lato Regular"/>
          <w:sz w:val="20"/>
          <w:szCs w:val="20"/>
        </w:rPr>
      </w:pPr>
    </w:p>
    <w:p w14:paraId="61403627" w14:textId="0F449B76" w:rsidR="001B00F9" w:rsidRPr="007E6832" w:rsidRDefault="000971CC">
      <w:pPr>
        <w:rPr>
          <w:rFonts w:ascii="Lato Regular" w:hAnsi="Lato Regular"/>
          <w:sz w:val="20"/>
          <w:szCs w:val="20"/>
        </w:rPr>
      </w:pPr>
      <w:r w:rsidRPr="007E6832">
        <w:rPr>
          <w:rFonts w:ascii="Lato Regular" w:hAnsi="Lato Regular"/>
          <w:sz w:val="20"/>
          <w:szCs w:val="20"/>
        </w:rPr>
        <w:t xml:space="preserve">Según </w:t>
      </w:r>
      <w:r w:rsidRPr="00B53E46">
        <w:rPr>
          <w:rFonts w:ascii="Lato Regular" w:hAnsi="Lato Regular"/>
          <w:b/>
          <w:sz w:val="20"/>
          <w:szCs w:val="20"/>
        </w:rPr>
        <w:t>Steffen Koch</w:t>
      </w:r>
      <w:r w:rsidRPr="007E6832">
        <w:rPr>
          <w:rFonts w:ascii="Lato Regular" w:hAnsi="Lato Regular"/>
          <w:sz w:val="20"/>
          <w:szCs w:val="20"/>
        </w:rPr>
        <w:t xml:space="preserve">, consejero de Asuntos Económicos de la Embajada de </w:t>
      </w:r>
      <w:r w:rsidR="001B00F9" w:rsidRPr="007E6832">
        <w:rPr>
          <w:rFonts w:ascii="Lato Regular" w:hAnsi="Lato Regular"/>
          <w:sz w:val="20"/>
          <w:szCs w:val="20"/>
        </w:rPr>
        <w:t xml:space="preserve">Alemania, </w:t>
      </w:r>
      <w:r w:rsidRPr="007E6832">
        <w:rPr>
          <w:rFonts w:ascii="Lato Regular" w:hAnsi="Lato Regular"/>
          <w:sz w:val="20"/>
          <w:szCs w:val="20"/>
        </w:rPr>
        <w:t xml:space="preserve">este país </w:t>
      </w:r>
      <w:r w:rsidR="001B00F9" w:rsidRPr="007E6832">
        <w:rPr>
          <w:rFonts w:ascii="Lato Regular" w:hAnsi="Lato Regular"/>
          <w:sz w:val="20"/>
          <w:szCs w:val="20"/>
        </w:rPr>
        <w:t>puso en marcha su transic</w:t>
      </w:r>
      <w:r w:rsidR="00850CAE">
        <w:rPr>
          <w:rFonts w:ascii="Lato Regular" w:hAnsi="Lato Regular"/>
          <w:sz w:val="20"/>
          <w:szCs w:val="20"/>
        </w:rPr>
        <w:t>ión -conocida como Energiewende-</w:t>
      </w:r>
      <w:r w:rsidRPr="007E6832">
        <w:rPr>
          <w:rFonts w:ascii="Lato Regular" w:hAnsi="Lato Regular"/>
          <w:sz w:val="20"/>
          <w:szCs w:val="20"/>
        </w:rPr>
        <w:t xml:space="preserve"> </w:t>
      </w:r>
      <w:r w:rsidR="001B00F9" w:rsidRPr="007E6832">
        <w:rPr>
          <w:rFonts w:ascii="Lato Regular" w:hAnsi="Lato Regular"/>
          <w:sz w:val="20"/>
          <w:szCs w:val="20"/>
        </w:rPr>
        <w:t xml:space="preserve">con el objetivo de reducir el conjunto de emisiones en hasta un </w:t>
      </w:r>
      <w:r w:rsidRPr="007E6832">
        <w:rPr>
          <w:rFonts w:ascii="Lato Regular" w:hAnsi="Lato Regular"/>
          <w:sz w:val="20"/>
          <w:szCs w:val="20"/>
        </w:rPr>
        <w:t>95% en 2050. Además, decretó el cierre progresivo de sus centrales nucleares que deberá completarse en 2022 y las centrales de carbón para 2038.  Su estrategia se centra en la reconversión de sus sistema eléctrico y el despliegue de energías renovables, sufragado medi</w:t>
      </w:r>
      <w:r w:rsidR="0024533F" w:rsidRPr="007E6832">
        <w:rPr>
          <w:rFonts w:ascii="Lato Regular" w:hAnsi="Lato Regular"/>
          <w:sz w:val="20"/>
          <w:szCs w:val="20"/>
        </w:rPr>
        <w:t>a</w:t>
      </w:r>
      <w:r w:rsidRPr="007E6832">
        <w:rPr>
          <w:rFonts w:ascii="Lato Regular" w:hAnsi="Lato Regular"/>
          <w:sz w:val="20"/>
          <w:szCs w:val="20"/>
        </w:rPr>
        <w:t>nte un recargo en la factura.</w:t>
      </w:r>
    </w:p>
    <w:p w14:paraId="01BD41F1" w14:textId="77777777" w:rsidR="000971CC" w:rsidRPr="007E6832" w:rsidRDefault="000971CC">
      <w:pPr>
        <w:rPr>
          <w:rFonts w:ascii="Lato Regular" w:hAnsi="Lato Regular"/>
          <w:sz w:val="20"/>
          <w:szCs w:val="20"/>
        </w:rPr>
      </w:pPr>
    </w:p>
    <w:p w14:paraId="54975E4A" w14:textId="53A90E5B" w:rsidR="000971CC" w:rsidRPr="007E6832" w:rsidRDefault="00B540AF">
      <w:pPr>
        <w:rPr>
          <w:rFonts w:ascii="Lato Regular" w:hAnsi="Lato Regular"/>
          <w:sz w:val="20"/>
          <w:szCs w:val="20"/>
        </w:rPr>
      </w:pPr>
      <w:r w:rsidRPr="007E6832">
        <w:rPr>
          <w:rFonts w:ascii="Lato Regular" w:hAnsi="Lato Regular"/>
          <w:sz w:val="20"/>
          <w:szCs w:val="20"/>
        </w:rPr>
        <w:t xml:space="preserve">El representante de Francia, </w:t>
      </w:r>
      <w:r w:rsidRPr="00B53E46">
        <w:rPr>
          <w:rFonts w:ascii="Lato Regular" w:hAnsi="Lato Regular"/>
          <w:b/>
          <w:sz w:val="20"/>
          <w:szCs w:val="20"/>
        </w:rPr>
        <w:t>Yasser Absoulhoussen</w:t>
      </w:r>
      <w:r w:rsidRPr="007E6832">
        <w:rPr>
          <w:rFonts w:ascii="Lato Regular" w:hAnsi="Lato Regular"/>
          <w:sz w:val="20"/>
          <w:szCs w:val="20"/>
        </w:rPr>
        <w:t xml:space="preserve">, consejero de Desarrollo Sostenible e Industria de la Embajada de Francia, ha destacado la capacidad que ha tenido su país para transformar el sistema energético y lograr un mix de generación con precios reducidos, que además de bajas emisiones, ha permitido que su tejido industrial y empresarial sea muy competitivo.  Su estrategia </w:t>
      </w:r>
      <w:r w:rsidR="004E7B9D">
        <w:rPr>
          <w:rFonts w:ascii="Lato Regular" w:hAnsi="Lato Regular"/>
          <w:sz w:val="20"/>
          <w:szCs w:val="20"/>
        </w:rPr>
        <w:t xml:space="preserve">de transición </w:t>
      </w:r>
      <w:r w:rsidRPr="007E6832">
        <w:rPr>
          <w:rFonts w:ascii="Lato Regular" w:hAnsi="Lato Regular"/>
          <w:sz w:val="20"/>
          <w:szCs w:val="20"/>
        </w:rPr>
        <w:t>se basa en</w:t>
      </w:r>
      <w:r w:rsidR="00D80CC4">
        <w:rPr>
          <w:rFonts w:ascii="Lato Regular" w:hAnsi="Lato Regular"/>
          <w:sz w:val="20"/>
          <w:szCs w:val="20"/>
        </w:rPr>
        <w:t xml:space="preserve"> una base nuclear del 44% del mix energético,</w:t>
      </w:r>
      <w:r w:rsidRPr="007E6832">
        <w:rPr>
          <w:rFonts w:ascii="Lato Regular" w:hAnsi="Lato Regular"/>
          <w:sz w:val="20"/>
          <w:szCs w:val="20"/>
        </w:rPr>
        <w:t xml:space="preserve"> el fomento de los sector</w:t>
      </w:r>
      <w:r w:rsidR="00BE55E8">
        <w:rPr>
          <w:rFonts w:ascii="Lato Regular" w:hAnsi="Lato Regular"/>
          <w:sz w:val="20"/>
          <w:szCs w:val="20"/>
        </w:rPr>
        <w:t>es de la eficiencia energética,</w:t>
      </w:r>
      <w:r w:rsidRPr="007E6832">
        <w:rPr>
          <w:rFonts w:ascii="Lato Regular" w:hAnsi="Lato Regular"/>
          <w:sz w:val="20"/>
          <w:szCs w:val="20"/>
        </w:rPr>
        <w:t xml:space="preserve"> las energías renovables y de la economía circular como vectores de especialización y creación de empleo, pero manteniendo los niveles de competitividad y precio ajustado de la energía.</w:t>
      </w:r>
    </w:p>
    <w:p w14:paraId="5BC22FFE" w14:textId="77777777" w:rsidR="00B540AF" w:rsidRPr="007E6832" w:rsidRDefault="00B540AF">
      <w:pPr>
        <w:rPr>
          <w:rFonts w:ascii="Lato Regular" w:hAnsi="Lato Regular"/>
          <w:sz w:val="20"/>
          <w:szCs w:val="20"/>
        </w:rPr>
      </w:pPr>
    </w:p>
    <w:p w14:paraId="047BD2F4" w14:textId="6B79D6B5" w:rsidR="00B540AF" w:rsidRPr="007E6832" w:rsidRDefault="00C12414">
      <w:pPr>
        <w:rPr>
          <w:rFonts w:ascii="Lato Regular" w:hAnsi="Lato Regular"/>
          <w:sz w:val="20"/>
          <w:szCs w:val="20"/>
        </w:rPr>
      </w:pPr>
      <w:r w:rsidRPr="007E6832">
        <w:rPr>
          <w:rFonts w:ascii="Lato Regular" w:hAnsi="Lato Regular"/>
          <w:sz w:val="20"/>
          <w:szCs w:val="20"/>
        </w:rPr>
        <w:t xml:space="preserve">El caso del Reino Unido ha sido expuesto por </w:t>
      </w:r>
      <w:r w:rsidRPr="00B53E46">
        <w:rPr>
          <w:rFonts w:ascii="Lato Regular" w:hAnsi="Lato Regular"/>
          <w:b/>
          <w:sz w:val="20"/>
          <w:szCs w:val="20"/>
        </w:rPr>
        <w:t>Keiran Bowtell</w:t>
      </w:r>
      <w:r w:rsidRPr="007E6832">
        <w:rPr>
          <w:rFonts w:ascii="Lato Regular" w:hAnsi="Lato Regular"/>
          <w:sz w:val="20"/>
          <w:szCs w:val="20"/>
        </w:rPr>
        <w:t>, agregado de Cambio Climático de la Embajada, quien ha destacado la trayectoria de</w:t>
      </w:r>
      <w:r w:rsidR="00BE55E8">
        <w:rPr>
          <w:rFonts w:ascii="Lato Regular" w:hAnsi="Lato Regular"/>
          <w:sz w:val="20"/>
          <w:szCs w:val="20"/>
        </w:rPr>
        <w:t>l</w:t>
      </w:r>
      <w:r w:rsidRPr="007E6832">
        <w:rPr>
          <w:rFonts w:ascii="Lato Regular" w:hAnsi="Lato Regular"/>
          <w:sz w:val="20"/>
          <w:szCs w:val="20"/>
        </w:rPr>
        <w:t xml:space="preserve"> Reino Unido </w:t>
      </w:r>
      <w:r w:rsidR="00E1769D" w:rsidRPr="007E6832">
        <w:rPr>
          <w:rFonts w:ascii="Lato Regular" w:hAnsi="Lato Regular"/>
          <w:sz w:val="20"/>
          <w:szCs w:val="20"/>
        </w:rPr>
        <w:t xml:space="preserve">para mantener en el tiempo políticas energéticas estables con </w:t>
      </w:r>
      <w:r w:rsidR="001F3CAA" w:rsidRPr="007E6832">
        <w:rPr>
          <w:rFonts w:ascii="Lato Regular" w:hAnsi="Lato Regular"/>
          <w:sz w:val="20"/>
          <w:szCs w:val="20"/>
        </w:rPr>
        <w:t>los sucesivos gobiernos</w:t>
      </w:r>
      <w:r w:rsidR="00E1769D" w:rsidRPr="007E6832">
        <w:rPr>
          <w:rFonts w:ascii="Lato Regular" w:hAnsi="Lato Regular"/>
          <w:sz w:val="20"/>
          <w:szCs w:val="20"/>
        </w:rPr>
        <w:t xml:space="preserve">, lo que le ha permitido </w:t>
      </w:r>
      <w:r w:rsidR="00CC1F99" w:rsidRPr="007E6832">
        <w:rPr>
          <w:rFonts w:ascii="Lato Regular" w:hAnsi="Lato Regular"/>
          <w:sz w:val="20"/>
          <w:szCs w:val="20"/>
        </w:rPr>
        <w:t>disponer de un marco normativo estable.</w:t>
      </w:r>
      <w:r w:rsidR="001F3CAA" w:rsidRPr="007E6832">
        <w:rPr>
          <w:rFonts w:ascii="Lato Regular" w:hAnsi="Lato Regular"/>
          <w:sz w:val="20"/>
          <w:szCs w:val="20"/>
        </w:rPr>
        <w:t xml:space="preserve"> Gracias a ello ha transformado sus sistema eléctrico con tecnologías de bajas emisiones y ha logrado reducir notablemente sus emisiones por cada punto de PIB producido. De hecho</w:t>
      </w:r>
      <w:r w:rsidR="00BE55E8">
        <w:rPr>
          <w:rFonts w:ascii="Lato Regular" w:hAnsi="Lato Regular"/>
          <w:sz w:val="20"/>
          <w:szCs w:val="20"/>
        </w:rPr>
        <w:t>,</w:t>
      </w:r>
      <w:r w:rsidR="001F3CAA" w:rsidRPr="007E6832">
        <w:rPr>
          <w:rFonts w:ascii="Lato Regular" w:hAnsi="Lato Regular"/>
          <w:sz w:val="20"/>
          <w:szCs w:val="20"/>
        </w:rPr>
        <w:t xml:space="preserve"> ha aprovechado con éxito la industria baja en carbono como fuente de crecimiento económico.</w:t>
      </w:r>
    </w:p>
    <w:p w14:paraId="34BE0AB8" w14:textId="77777777" w:rsidR="00291549" w:rsidRPr="007E6832" w:rsidRDefault="00291549">
      <w:pPr>
        <w:rPr>
          <w:rFonts w:ascii="Lato Regular" w:hAnsi="Lato Regular"/>
          <w:sz w:val="20"/>
          <w:szCs w:val="20"/>
        </w:rPr>
      </w:pPr>
    </w:p>
    <w:p w14:paraId="1C62E97A" w14:textId="0B43BD5C" w:rsidR="001C5E7B" w:rsidRPr="007E6832" w:rsidRDefault="001F3CAA" w:rsidP="001F3CAA">
      <w:pPr>
        <w:rPr>
          <w:rFonts w:ascii="Lato Regular" w:hAnsi="Lato Regular"/>
          <w:sz w:val="20"/>
          <w:szCs w:val="20"/>
        </w:rPr>
      </w:pPr>
      <w:r w:rsidRPr="007E6832">
        <w:rPr>
          <w:rFonts w:ascii="Lato Regular" w:hAnsi="Lato Regular"/>
          <w:sz w:val="20"/>
          <w:szCs w:val="20"/>
        </w:rPr>
        <w:t>En cuanto a Euskadi, la transformación del sistema energético tiene una visión a largo plazo con el fin de eliminar fuentes de origen fósil, utilizando el gas natural como combustible de transición en un proceso paulatino hacia una participación cada vez mayor de las energías renovables que permita una progresiva descarbonización.</w:t>
      </w:r>
    </w:p>
    <w:p w14:paraId="0D9105CE" w14:textId="766A539F" w:rsidR="002546AE" w:rsidRPr="007E6832" w:rsidRDefault="002546AE" w:rsidP="002546AE">
      <w:pPr>
        <w:rPr>
          <w:rFonts w:ascii="Lato Regular" w:hAnsi="Lato Regular"/>
          <w:sz w:val="20"/>
          <w:szCs w:val="20"/>
        </w:rPr>
      </w:pPr>
    </w:p>
    <w:p w14:paraId="53D7B0CA" w14:textId="77777777" w:rsidR="005D72F4" w:rsidRPr="007E6832" w:rsidRDefault="005D72F4" w:rsidP="005D72F4">
      <w:pPr>
        <w:rPr>
          <w:rFonts w:ascii="Lato Regular" w:hAnsi="Lato Regular"/>
          <w:sz w:val="20"/>
          <w:szCs w:val="20"/>
        </w:rPr>
      </w:pPr>
      <w:r w:rsidRPr="007E6832">
        <w:rPr>
          <w:rFonts w:ascii="Lato Regular" w:hAnsi="Lato Regular"/>
          <w:sz w:val="20"/>
          <w:szCs w:val="20"/>
        </w:rPr>
        <w:t>La eficiencia energética es el pilar fundamental de esta estrategia, y se concreta en:</w:t>
      </w:r>
    </w:p>
    <w:p w14:paraId="14A60B8E" w14:textId="77777777" w:rsidR="005D72F4" w:rsidRPr="007E6832" w:rsidRDefault="005D72F4" w:rsidP="005D72F4">
      <w:pPr>
        <w:rPr>
          <w:rFonts w:ascii="Lato Regular" w:hAnsi="Lato Regular"/>
          <w:sz w:val="20"/>
          <w:szCs w:val="20"/>
        </w:rPr>
      </w:pPr>
    </w:p>
    <w:p w14:paraId="4115F5B7" w14:textId="689664C2" w:rsidR="005D72F4" w:rsidRPr="007E6832" w:rsidRDefault="005D72F4" w:rsidP="005D72F4">
      <w:pPr>
        <w:pStyle w:val="Prrafodelista"/>
        <w:numPr>
          <w:ilvl w:val="0"/>
          <w:numId w:val="2"/>
        </w:numPr>
        <w:rPr>
          <w:rFonts w:ascii="Lato Regular" w:hAnsi="Lato Regular"/>
          <w:sz w:val="20"/>
          <w:szCs w:val="20"/>
        </w:rPr>
      </w:pPr>
      <w:r w:rsidRPr="007E6832">
        <w:rPr>
          <w:rFonts w:ascii="Lato Regular" w:hAnsi="Lato Regular"/>
          <w:sz w:val="20"/>
          <w:szCs w:val="20"/>
        </w:rPr>
        <w:t>La reducción de la demand</w:t>
      </w:r>
      <w:r w:rsidR="00BE55E8">
        <w:rPr>
          <w:rFonts w:ascii="Lato Regular" w:hAnsi="Lato Regular"/>
          <w:sz w:val="20"/>
          <w:szCs w:val="20"/>
        </w:rPr>
        <w:t>a energética en Euskadi en un 25</w:t>
      </w:r>
      <w:r w:rsidRPr="007E6832">
        <w:rPr>
          <w:rFonts w:ascii="Lato Regular" w:hAnsi="Lato Regular"/>
          <w:sz w:val="20"/>
          <w:szCs w:val="20"/>
        </w:rPr>
        <w:t>% en el periodo 2016-2030, adicional a los ahorros energéticos ya alcanzados hasta la fecha.</w:t>
      </w:r>
    </w:p>
    <w:p w14:paraId="028050FD" w14:textId="00298BAC" w:rsidR="005D72F4" w:rsidRPr="007E6832" w:rsidRDefault="005D72F4" w:rsidP="005D72F4">
      <w:pPr>
        <w:pStyle w:val="Prrafodelista"/>
        <w:numPr>
          <w:ilvl w:val="0"/>
          <w:numId w:val="2"/>
        </w:numPr>
        <w:rPr>
          <w:rFonts w:ascii="Lato Regular" w:hAnsi="Lato Regular"/>
          <w:sz w:val="20"/>
          <w:szCs w:val="20"/>
        </w:rPr>
      </w:pPr>
      <w:r w:rsidRPr="007E6832">
        <w:rPr>
          <w:rFonts w:ascii="Lato Regular" w:hAnsi="Lato Regular"/>
          <w:sz w:val="20"/>
          <w:szCs w:val="20"/>
        </w:rPr>
        <w:t>Potenciar el uso de las energías renovables un 126% para alcanzar en el año 2030 los 966.000 tep (toneladas equivalentes de petróleo), lo que supone una cuota de renovable</w:t>
      </w:r>
      <w:r w:rsidR="007F44F1">
        <w:rPr>
          <w:rFonts w:ascii="Lato Regular" w:hAnsi="Lato Regular"/>
          <w:sz w:val="20"/>
          <w:szCs w:val="20"/>
        </w:rPr>
        <w:t>s del 21% (</w:t>
      </w:r>
      <w:r w:rsidRPr="007E6832">
        <w:rPr>
          <w:rFonts w:ascii="Lato Regular" w:hAnsi="Lato Regular"/>
          <w:sz w:val="20"/>
          <w:szCs w:val="20"/>
        </w:rPr>
        <w:t>aunque ya se trabaja para que llegue hasta el 32%</w:t>
      </w:r>
      <w:r w:rsidR="007F44F1">
        <w:rPr>
          <w:rFonts w:ascii="Lato Regular" w:hAnsi="Lato Regular"/>
          <w:sz w:val="20"/>
          <w:szCs w:val="20"/>
        </w:rPr>
        <w:t>)</w:t>
      </w:r>
      <w:r w:rsidRPr="007E6832">
        <w:rPr>
          <w:rFonts w:ascii="Lato Regular" w:hAnsi="Lato Regular"/>
          <w:sz w:val="20"/>
          <w:szCs w:val="20"/>
        </w:rPr>
        <w:t xml:space="preserve">. </w:t>
      </w:r>
    </w:p>
    <w:p w14:paraId="0FAFB5C8" w14:textId="77777777" w:rsidR="005D72F4" w:rsidRPr="007E6832" w:rsidRDefault="005D72F4" w:rsidP="005D72F4">
      <w:pPr>
        <w:pStyle w:val="Prrafodelista"/>
        <w:numPr>
          <w:ilvl w:val="0"/>
          <w:numId w:val="2"/>
        </w:numPr>
        <w:rPr>
          <w:rFonts w:ascii="Lato Regular" w:hAnsi="Lato Regular"/>
          <w:sz w:val="20"/>
          <w:szCs w:val="20"/>
        </w:rPr>
      </w:pPr>
      <w:r w:rsidRPr="007E6832">
        <w:rPr>
          <w:rFonts w:ascii="Lato Regular" w:hAnsi="Lato Regular"/>
          <w:sz w:val="20"/>
          <w:szCs w:val="20"/>
        </w:rPr>
        <w:t>Aumentar la participación de la cogeneración y las renovables para la generación eléctrica, de forma que pasen del 20% en el año 2015 al 40% en el 2030.</w:t>
      </w:r>
    </w:p>
    <w:p w14:paraId="6816F591" w14:textId="77777777" w:rsidR="005D72F4" w:rsidRPr="007E6832" w:rsidRDefault="005D72F4" w:rsidP="002546AE">
      <w:pPr>
        <w:rPr>
          <w:rFonts w:ascii="Lato Regular" w:hAnsi="Lato Regular"/>
          <w:sz w:val="20"/>
          <w:szCs w:val="20"/>
        </w:rPr>
      </w:pPr>
    </w:p>
    <w:sectPr w:rsidR="005D72F4" w:rsidRPr="007E6832" w:rsidSect="00552E99">
      <w:headerReference w:type="default" r:id="rId9"/>
      <w:footerReference w:type="default" r:id="rId10"/>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1C56B" w14:textId="77777777" w:rsidR="00363CBA" w:rsidRDefault="00363CBA" w:rsidP="001C5E7B">
      <w:r>
        <w:separator/>
      </w:r>
    </w:p>
  </w:endnote>
  <w:endnote w:type="continuationSeparator" w:id="0">
    <w:p w14:paraId="11C2F15C" w14:textId="77777777" w:rsidR="00363CBA" w:rsidRDefault="00363CBA" w:rsidP="001C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Regular">
    <w:panose1 w:val="020F0502020204030203"/>
    <w:charset w:val="00"/>
    <w:family w:val="auto"/>
    <w:pitch w:val="variable"/>
    <w:sig w:usb0="A00000AF" w:usb1="5000604B" w:usb2="00000000" w:usb3="00000000" w:csb0="00000093"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Lato Black">
    <w:panose1 w:val="020F0A02020204030203"/>
    <w:charset w:val="00"/>
    <w:family w:val="auto"/>
    <w:pitch w:val="variable"/>
    <w:sig w:usb0="A00000AF" w:usb1="5000604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50C52" w14:textId="2C67C6EB" w:rsidR="00363CBA" w:rsidRDefault="00363CBA" w:rsidP="00E86294">
    <w:pPr>
      <w:pStyle w:val="Piedepgina"/>
      <w:jc w:val="center"/>
    </w:pPr>
    <w:r>
      <w:rPr>
        <w:noProof/>
        <w:lang w:val="es-ES"/>
      </w:rPr>
      <w:drawing>
        <wp:inline distT="0" distB="0" distL="0" distR="0" wp14:anchorId="2446F6D2" wp14:editId="2C1AA32B">
          <wp:extent cx="1920240" cy="749522"/>
          <wp:effectExtent l="0" t="0" r="1016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iaren Bidea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920240" cy="74952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39B8E" w14:textId="77777777" w:rsidR="00363CBA" w:rsidRDefault="00363CBA" w:rsidP="001C5E7B">
      <w:r>
        <w:separator/>
      </w:r>
    </w:p>
  </w:footnote>
  <w:footnote w:type="continuationSeparator" w:id="0">
    <w:p w14:paraId="11F774B4" w14:textId="77777777" w:rsidR="00363CBA" w:rsidRDefault="00363CBA" w:rsidP="001C5E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319"/>
    </w:tblGrid>
    <w:tr w:rsidR="00363CBA" w14:paraId="33EF04D0" w14:textId="77777777" w:rsidTr="006C2109">
      <w:tc>
        <w:tcPr>
          <w:tcW w:w="4319" w:type="dxa"/>
          <w:vAlign w:val="center"/>
        </w:tcPr>
        <w:p w14:paraId="311ED66A" w14:textId="77777777" w:rsidR="00363CBA" w:rsidRDefault="00363CBA" w:rsidP="006C2109">
          <w:pPr>
            <w:pStyle w:val="Encabezado"/>
            <w:jc w:val="center"/>
          </w:pPr>
          <w:r>
            <w:rPr>
              <w:noProof/>
              <w:lang w:val="es-ES"/>
            </w:rPr>
            <w:drawing>
              <wp:inline distT="0" distB="0" distL="0" distR="0" wp14:anchorId="739867F1" wp14:editId="38D87439">
                <wp:extent cx="1200785" cy="803302"/>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 logo-01.jpg"/>
                        <pic:cNvPicPr/>
                      </pic:nvPicPr>
                      <pic:blipFill>
                        <a:blip r:embed="rId1">
                          <a:extLst>
                            <a:ext uri="{28A0092B-C50C-407E-A947-70E740481C1C}">
                              <a14:useLocalDpi xmlns:a14="http://schemas.microsoft.com/office/drawing/2010/main" val="0"/>
                            </a:ext>
                          </a:extLst>
                        </a:blip>
                        <a:stretch>
                          <a:fillRect/>
                        </a:stretch>
                      </pic:blipFill>
                      <pic:spPr>
                        <a:xfrm>
                          <a:off x="0" y="0"/>
                          <a:ext cx="1201336" cy="803671"/>
                        </a:xfrm>
                        <a:prstGeom prst="rect">
                          <a:avLst/>
                        </a:prstGeom>
                      </pic:spPr>
                    </pic:pic>
                  </a:graphicData>
                </a:graphic>
              </wp:inline>
            </w:drawing>
          </w:r>
        </w:p>
      </w:tc>
      <w:tc>
        <w:tcPr>
          <w:tcW w:w="4319" w:type="dxa"/>
          <w:vAlign w:val="center"/>
        </w:tcPr>
        <w:p w14:paraId="0714618D" w14:textId="77777777" w:rsidR="00363CBA" w:rsidRDefault="00363CBA" w:rsidP="006C2109">
          <w:pPr>
            <w:pStyle w:val="Encabezado"/>
            <w:jc w:val="center"/>
          </w:pPr>
          <w:r>
            <w:rPr>
              <w:noProof/>
              <w:lang w:val="es-ES"/>
            </w:rPr>
            <w:drawing>
              <wp:inline distT="0" distB="0" distL="0" distR="0" wp14:anchorId="62EF894B" wp14:editId="1A72F33E">
                <wp:extent cx="1226185" cy="6211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estra[1]_alta.jpg"/>
                        <pic:cNvPicPr/>
                      </pic:nvPicPr>
                      <pic:blipFill>
                        <a:blip r:embed="rId2">
                          <a:extLst>
                            <a:ext uri="{28A0092B-C50C-407E-A947-70E740481C1C}">
                              <a14:useLocalDpi xmlns:a14="http://schemas.microsoft.com/office/drawing/2010/main" val="0"/>
                            </a:ext>
                          </a:extLst>
                        </a:blip>
                        <a:stretch>
                          <a:fillRect/>
                        </a:stretch>
                      </pic:blipFill>
                      <pic:spPr>
                        <a:xfrm>
                          <a:off x="0" y="0"/>
                          <a:ext cx="1226517" cy="621327"/>
                        </a:xfrm>
                        <a:prstGeom prst="rect">
                          <a:avLst/>
                        </a:prstGeom>
                      </pic:spPr>
                    </pic:pic>
                  </a:graphicData>
                </a:graphic>
              </wp:inline>
            </w:drawing>
          </w:r>
        </w:p>
      </w:tc>
    </w:tr>
  </w:tbl>
  <w:p w14:paraId="3E8C2284" w14:textId="77777777" w:rsidR="00363CBA" w:rsidRPr="002827A7" w:rsidRDefault="00363CBA" w:rsidP="002827A7">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66C2E"/>
    <w:multiLevelType w:val="hybridMultilevel"/>
    <w:tmpl w:val="2CF2C18E"/>
    <w:lvl w:ilvl="0" w:tplc="5CFE0E4E">
      <w:numFmt w:val="bullet"/>
      <w:lvlText w:val="-"/>
      <w:lvlJc w:val="left"/>
      <w:pPr>
        <w:ind w:left="720" w:hanging="360"/>
      </w:pPr>
      <w:rPr>
        <w:rFonts w:ascii="Lato Regular" w:eastAsiaTheme="minorEastAsia" w:hAnsi="Lato Regular"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3723B7D"/>
    <w:multiLevelType w:val="hybridMultilevel"/>
    <w:tmpl w:val="D0C81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6A"/>
    <w:rsid w:val="00005673"/>
    <w:rsid w:val="000971CC"/>
    <w:rsid w:val="000A4870"/>
    <w:rsid w:val="000B3C16"/>
    <w:rsid w:val="000C030F"/>
    <w:rsid w:val="0014039C"/>
    <w:rsid w:val="00192B6F"/>
    <w:rsid w:val="001B00F9"/>
    <w:rsid w:val="001C5E7B"/>
    <w:rsid w:val="001F3CAA"/>
    <w:rsid w:val="0024533F"/>
    <w:rsid w:val="002546AE"/>
    <w:rsid w:val="002827A7"/>
    <w:rsid w:val="00291549"/>
    <w:rsid w:val="00320FC0"/>
    <w:rsid w:val="00363CBA"/>
    <w:rsid w:val="003D33FF"/>
    <w:rsid w:val="003D378A"/>
    <w:rsid w:val="003E2C6E"/>
    <w:rsid w:val="003E3510"/>
    <w:rsid w:val="003F7DD2"/>
    <w:rsid w:val="00450238"/>
    <w:rsid w:val="00493BC0"/>
    <w:rsid w:val="004E7B9D"/>
    <w:rsid w:val="004F3056"/>
    <w:rsid w:val="00543D97"/>
    <w:rsid w:val="00552E99"/>
    <w:rsid w:val="005B32CA"/>
    <w:rsid w:val="005D72F4"/>
    <w:rsid w:val="00617DAB"/>
    <w:rsid w:val="006221A0"/>
    <w:rsid w:val="006C2109"/>
    <w:rsid w:val="006D6AA1"/>
    <w:rsid w:val="006F5CF0"/>
    <w:rsid w:val="00702886"/>
    <w:rsid w:val="0072599A"/>
    <w:rsid w:val="007353BC"/>
    <w:rsid w:val="00741D69"/>
    <w:rsid w:val="00786889"/>
    <w:rsid w:val="007C40B0"/>
    <w:rsid w:val="007E6832"/>
    <w:rsid w:val="007F1B7C"/>
    <w:rsid w:val="007F44F1"/>
    <w:rsid w:val="00810EEC"/>
    <w:rsid w:val="008119EA"/>
    <w:rsid w:val="00850CAE"/>
    <w:rsid w:val="008514A0"/>
    <w:rsid w:val="00851505"/>
    <w:rsid w:val="008A111A"/>
    <w:rsid w:val="009A0C8A"/>
    <w:rsid w:val="009C56B1"/>
    <w:rsid w:val="009F7468"/>
    <w:rsid w:val="00A21D1F"/>
    <w:rsid w:val="00B53E46"/>
    <w:rsid w:val="00B540AF"/>
    <w:rsid w:val="00BC366A"/>
    <w:rsid w:val="00BC67C4"/>
    <w:rsid w:val="00BE55E8"/>
    <w:rsid w:val="00C12414"/>
    <w:rsid w:val="00C16CCE"/>
    <w:rsid w:val="00CC1F99"/>
    <w:rsid w:val="00CF48BE"/>
    <w:rsid w:val="00D67D3A"/>
    <w:rsid w:val="00D80CC4"/>
    <w:rsid w:val="00DC12C5"/>
    <w:rsid w:val="00DE2DCE"/>
    <w:rsid w:val="00E13984"/>
    <w:rsid w:val="00E17545"/>
    <w:rsid w:val="00E1769D"/>
    <w:rsid w:val="00E17929"/>
    <w:rsid w:val="00E86294"/>
    <w:rsid w:val="00E92900"/>
    <w:rsid w:val="00EA3B46"/>
    <w:rsid w:val="00EC35D5"/>
    <w:rsid w:val="00ED68DC"/>
    <w:rsid w:val="00F077EE"/>
    <w:rsid w:val="00F546E7"/>
    <w:rsid w:val="00F62658"/>
    <w:rsid w:val="00FC7FF2"/>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54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5E7B"/>
    <w:pPr>
      <w:tabs>
        <w:tab w:val="center" w:pos="4252"/>
        <w:tab w:val="right" w:pos="8504"/>
      </w:tabs>
    </w:pPr>
  </w:style>
  <w:style w:type="character" w:customStyle="1" w:styleId="EncabezadoCar">
    <w:name w:val="Encabezado Car"/>
    <w:basedOn w:val="Fuentedeprrafopredeter"/>
    <w:link w:val="Encabezado"/>
    <w:uiPriority w:val="99"/>
    <w:rsid w:val="001C5E7B"/>
  </w:style>
  <w:style w:type="paragraph" w:styleId="Piedepgina">
    <w:name w:val="footer"/>
    <w:basedOn w:val="Normal"/>
    <w:link w:val="PiedepginaCar"/>
    <w:uiPriority w:val="99"/>
    <w:unhideWhenUsed/>
    <w:rsid w:val="001C5E7B"/>
    <w:pPr>
      <w:tabs>
        <w:tab w:val="center" w:pos="4252"/>
        <w:tab w:val="right" w:pos="8504"/>
      </w:tabs>
    </w:pPr>
  </w:style>
  <w:style w:type="character" w:customStyle="1" w:styleId="PiedepginaCar">
    <w:name w:val="Pie de página Car"/>
    <w:basedOn w:val="Fuentedeprrafopredeter"/>
    <w:link w:val="Piedepgina"/>
    <w:uiPriority w:val="99"/>
    <w:rsid w:val="001C5E7B"/>
  </w:style>
  <w:style w:type="table" w:styleId="Tablaconcuadrcula">
    <w:name w:val="Table Grid"/>
    <w:basedOn w:val="Tablanormal"/>
    <w:uiPriority w:val="59"/>
    <w:rsid w:val="001C5E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C5E7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C5E7B"/>
    <w:rPr>
      <w:rFonts w:ascii="Lucida Grande" w:hAnsi="Lucida Grande"/>
      <w:sz w:val="18"/>
      <w:szCs w:val="18"/>
    </w:rPr>
  </w:style>
  <w:style w:type="paragraph" w:styleId="Prrafodelista">
    <w:name w:val="List Paragraph"/>
    <w:basedOn w:val="Normal"/>
    <w:uiPriority w:val="34"/>
    <w:qFormat/>
    <w:rsid w:val="00E175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5E7B"/>
    <w:pPr>
      <w:tabs>
        <w:tab w:val="center" w:pos="4252"/>
        <w:tab w:val="right" w:pos="8504"/>
      </w:tabs>
    </w:pPr>
  </w:style>
  <w:style w:type="character" w:customStyle="1" w:styleId="EncabezadoCar">
    <w:name w:val="Encabezado Car"/>
    <w:basedOn w:val="Fuentedeprrafopredeter"/>
    <w:link w:val="Encabezado"/>
    <w:uiPriority w:val="99"/>
    <w:rsid w:val="001C5E7B"/>
  </w:style>
  <w:style w:type="paragraph" w:styleId="Piedepgina">
    <w:name w:val="footer"/>
    <w:basedOn w:val="Normal"/>
    <w:link w:val="PiedepginaCar"/>
    <w:uiPriority w:val="99"/>
    <w:unhideWhenUsed/>
    <w:rsid w:val="001C5E7B"/>
    <w:pPr>
      <w:tabs>
        <w:tab w:val="center" w:pos="4252"/>
        <w:tab w:val="right" w:pos="8504"/>
      </w:tabs>
    </w:pPr>
  </w:style>
  <w:style w:type="character" w:customStyle="1" w:styleId="PiedepginaCar">
    <w:name w:val="Pie de página Car"/>
    <w:basedOn w:val="Fuentedeprrafopredeter"/>
    <w:link w:val="Piedepgina"/>
    <w:uiPriority w:val="99"/>
    <w:rsid w:val="001C5E7B"/>
  </w:style>
  <w:style w:type="table" w:styleId="Tablaconcuadrcula">
    <w:name w:val="Table Grid"/>
    <w:basedOn w:val="Tablanormal"/>
    <w:uiPriority w:val="59"/>
    <w:rsid w:val="001C5E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C5E7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C5E7B"/>
    <w:rPr>
      <w:rFonts w:ascii="Lucida Grande" w:hAnsi="Lucida Grande"/>
      <w:sz w:val="18"/>
      <w:szCs w:val="18"/>
    </w:rPr>
  </w:style>
  <w:style w:type="paragraph" w:styleId="Prrafodelista">
    <w:name w:val="List Paragraph"/>
    <w:basedOn w:val="Normal"/>
    <w:uiPriority w:val="34"/>
    <w:qFormat/>
    <w:rsid w:val="00E17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54193-ADB2-AC48-9773-E897FD65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987</Words>
  <Characters>5431</Characters>
  <Application>Microsoft Macintosh Word</Application>
  <DocSecurity>0</DocSecurity>
  <Lines>45</Lines>
  <Paragraphs>12</Paragraphs>
  <ScaleCrop>false</ScaleCrop>
  <Company>EVE</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Imanol Zenborain</dc:creator>
  <cp:keywords/>
  <dc:description/>
  <cp:lastModifiedBy>ECOAZ</cp:lastModifiedBy>
  <cp:revision>80</cp:revision>
  <dcterms:created xsi:type="dcterms:W3CDTF">2019-10-21T07:10:00Z</dcterms:created>
  <dcterms:modified xsi:type="dcterms:W3CDTF">2019-11-14T10:51:00Z</dcterms:modified>
</cp:coreProperties>
</file>