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E1D7" w14:textId="77777777" w:rsidR="00A03ECC" w:rsidRDefault="00A03ECC" w:rsidP="00507BDF">
      <w:pPr>
        <w:jc w:val="both"/>
        <w:rPr>
          <w:rFonts w:ascii="Lato" w:hAnsi="Lato"/>
          <w:bCs/>
          <w:sz w:val="22"/>
          <w:szCs w:val="22"/>
          <w:u w:val="single"/>
        </w:rPr>
      </w:pPr>
      <w:r w:rsidRPr="00A03ECC">
        <w:rPr>
          <w:rFonts w:ascii="Lato" w:hAnsi="Lato"/>
          <w:bCs/>
          <w:sz w:val="22"/>
          <w:szCs w:val="22"/>
          <w:u w:val="single"/>
        </w:rPr>
        <w:t>Nota de prensa</w:t>
      </w:r>
    </w:p>
    <w:p w14:paraId="10755883" w14:textId="77777777" w:rsidR="00A03ECC" w:rsidRPr="00A03ECC" w:rsidRDefault="00A03ECC" w:rsidP="00507BDF">
      <w:pPr>
        <w:jc w:val="both"/>
        <w:rPr>
          <w:rFonts w:ascii="Lato" w:hAnsi="Lato"/>
          <w:bCs/>
          <w:sz w:val="22"/>
          <w:szCs w:val="22"/>
          <w:u w:val="single"/>
        </w:rPr>
      </w:pPr>
    </w:p>
    <w:p w14:paraId="77A5259F" w14:textId="5D41BD58" w:rsidR="00F26994" w:rsidRPr="00A03ECC" w:rsidRDefault="00AE1591" w:rsidP="00A03ECC">
      <w:pPr>
        <w:jc w:val="center"/>
        <w:rPr>
          <w:rFonts w:ascii="Lato" w:hAnsi="Lato"/>
          <w:b/>
          <w:sz w:val="36"/>
          <w:szCs w:val="36"/>
        </w:rPr>
      </w:pPr>
      <w:r w:rsidRPr="00A03ECC">
        <w:rPr>
          <w:rFonts w:ascii="Lato" w:hAnsi="Lato"/>
          <w:b/>
          <w:sz w:val="36"/>
          <w:szCs w:val="36"/>
        </w:rPr>
        <w:t>A</w:t>
      </w:r>
      <w:r w:rsidR="00507BDF" w:rsidRPr="00A03ECC">
        <w:rPr>
          <w:rFonts w:ascii="Lato" w:hAnsi="Lato"/>
          <w:b/>
          <w:sz w:val="36"/>
          <w:szCs w:val="36"/>
        </w:rPr>
        <w:t xml:space="preserve">yudas para realizar auditorías energéticas </w:t>
      </w:r>
      <w:r w:rsidRPr="00A03ECC">
        <w:rPr>
          <w:rFonts w:ascii="Lato" w:hAnsi="Lato"/>
          <w:b/>
          <w:sz w:val="36"/>
          <w:szCs w:val="36"/>
        </w:rPr>
        <w:t>en PYMES industrial</w:t>
      </w:r>
      <w:r w:rsidR="00A03ECC">
        <w:rPr>
          <w:rFonts w:ascii="Lato" w:hAnsi="Lato"/>
          <w:b/>
          <w:sz w:val="36"/>
          <w:szCs w:val="36"/>
        </w:rPr>
        <w:t>es</w:t>
      </w:r>
      <w:r w:rsidRPr="00A03ECC">
        <w:rPr>
          <w:rFonts w:ascii="Lato" w:hAnsi="Lato"/>
          <w:b/>
          <w:sz w:val="36"/>
          <w:szCs w:val="36"/>
        </w:rPr>
        <w:t xml:space="preserve"> y </w:t>
      </w:r>
      <w:r w:rsidR="00A03ECC">
        <w:rPr>
          <w:rFonts w:ascii="Lato" w:hAnsi="Lato"/>
          <w:b/>
          <w:sz w:val="36"/>
          <w:szCs w:val="36"/>
        </w:rPr>
        <w:t xml:space="preserve">del sector </w:t>
      </w:r>
      <w:r w:rsidRPr="00A03ECC">
        <w:rPr>
          <w:rFonts w:ascii="Lato" w:hAnsi="Lato"/>
          <w:b/>
          <w:sz w:val="36"/>
          <w:szCs w:val="36"/>
        </w:rPr>
        <w:t>terciario</w:t>
      </w:r>
    </w:p>
    <w:p w14:paraId="15A12C04" w14:textId="77777777" w:rsidR="00507BDF" w:rsidRPr="00507BDF" w:rsidRDefault="00507BDF" w:rsidP="00507BDF">
      <w:pPr>
        <w:jc w:val="both"/>
        <w:rPr>
          <w:rFonts w:ascii="Lato" w:hAnsi="Lato"/>
          <w:b/>
          <w:sz w:val="22"/>
          <w:szCs w:val="22"/>
        </w:rPr>
      </w:pPr>
    </w:p>
    <w:p w14:paraId="6322549E" w14:textId="2591D29E" w:rsidR="00F26994" w:rsidRPr="00507BDF" w:rsidRDefault="00F26994" w:rsidP="00507BDF">
      <w:pPr>
        <w:jc w:val="both"/>
        <w:rPr>
          <w:rFonts w:ascii="Lato" w:hAnsi="Lato"/>
          <w:b/>
          <w:sz w:val="22"/>
          <w:szCs w:val="22"/>
        </w:rPr>
      </w:pPr>
      <w:r w:rsidRPr="00507BDF">
        <w:rPr>
          <w:rFonts w:ascii="Lato" w:hAnsi="Lato"/>
          <w:b/>
          <w:sz w:val="22"/>
          <w:szCs w:val="22"/>
        </w:rPr>
        <w:t>El plazo de solicitud se abrirá mañana, 25 de abril</w:t>
      </w:r>
      <w:r w:rsidR="00B91B6E" w:rsidRPr="00507BDF">
        <w:rPr>
          <w:rFonts w:ascii="Lato" w:hAnsi="Lato"/>
          <w:b/>
          <w:sz w:val="22"/>
          <w:szCs w:val="22"/>
        </w:rPr>
        <w:t>,</w:t>
      </w:r>
      <w:r w:rsidRPr="00507BDF">
        <w:rPr>
          <w:rFonts w:ascii="Lato" w:hAnsi="Lato"/>
          <w:b/>
          <w:sz w:val="22"/>
          <w:szCs w:val="22"/>
        </w:rPr>
        <w:t xml:space="preserve"> y estará abierto durante un año.</w:t>
      </w:r>
      <w:r w:rsidR="00B91B6E" w:rsidRPr="00507BDF">
        <w:rPr>
          <w:rFonts w:ascii="Lato" w:hAnsi="Lato"/>
          <w:b/>
          <w:sz w:val="22"/>
          <w:szCs w:val="22"/>
        </w:rPr>
        <w:t xml:space="preserve"> El programa pretende impulsar </w:t>
      </w:r>
      <w:r w:rsidR="003365CA">
        <w:rPr>
          <w:rFonts w:ascii="Lato" w:hAnsi="Lato"/>
          <w:b/>
          <w:sz w:val="22"/>
          <w:szCs w:val="22"/>
        </w:rPr>
        <w:t>análisis y estudios para la</w:t>
      </w:r>
      <w:r w:rsidR="00B91B6E" w:rsidRPr="00507BDF">
        <w:rPr>
          <w:rFonts w:ascii="Lato" w:hAnsi="Lato"/>
          <w:b/>
          <w:sz w:val="22"/>
          <w:szCs w:val="22"/>
        </w:rPr>
        <w:t xml:space="preserve"> potencial implementación de energías renovables</w:t>
      </w:r>
      <w:r w:rsidR="00A03ECC">
        <w:rPr>
          <w:rFonts w:ascii="Lato" w:hAnsi="Lato"/>
          <w:b/>
          <w:sz w:val="22"/>
          <w:szCs w:val="22"/>
        </w:rPr>
        <w:t xml:space="preserve">, y medidas de </w:t>
      </w:r>
      <w:r w:rsidR="00B91B6E" w:rsidRPr="00507BDF">
        <w:rPr>
          <w:rFonts w:ascii="Lato" w:hAnsi="Lato"/>
          <w:b/>
          <w:sz w:val="22"/>
          <w:szCs w:val="22"/>
        </w:rPr>
        <w:t xml:space="preserve">ahorro y eficiencia energética </w:t>
      </w:r>
      <w:r w:rsidR="00A03ECC">
        <w:rPr>
          <w:rFonts w:ascii="Lato" w:hAnsi="Lato"/>
          <w:b/>
          <w:sz w:val="22"/>
          <w:szCs w:val="22"/>
        </w:rPr>
        <w:t xml:space="preserve">en </w:t>
      </w:r>
      <w:r w:rsidR="00B91B6E" w:rsidRPr="00507BDF">
        <w:rPr>
          <w:rFonts w:ascii="Lato" w:hAnsi="Lato"/>
          <w:b/>
          <w:sz w:val="22"/>
          <w:szCs w:val="22"/>
        </w:rPr>
        <w:t xml:space="preserve">las </w:t>
      </w:r>
      <w:proofErr w:type="spellStart"/>
      <w:r w:rsidR="00B91B6E" w:rsidRPr="00507BDF">
        <w:rPr>
          <w:rFonts w:ascii="Lato" w:hAnsi="Lato"/>
          <w:b/>
          <w:sz w:val="22"/>
          <w:szCs w:val="22"/>
        </w:rPr>
        <w:t>PYMEs</w:t>
      </w:r>
      <w:proofErr w:type="spellEnd"/>
      <w:r w:rsidR="00B91B6E" w:rsidRPr="00507BDF">
        <w:rPr>
          <w:rFonts w:ascii="Lato" w:hAnsi="Lato"/>
          <w:b/>
          <w:sz w:val="22"/>
          <w:szCs w:val="22"/>
        </w:rPr>
        <w:t>.</w:t>
      </w:r>
    </w:p>
    <w:p w14:paraId="37150FF5" w14:textId="77777777" w:rsidR="00F26994" w:rsidRPr="00507BDF" w:rsidRDefault="00F26994" w:rsidP="00507BDF">
      <w:pPr>
        <w:jc w:val="both"/>
        <w:rPr>
          <w:rFonts w:ascii="Lato" w:hAnsi="Lato"/>
          <w:sz w:val="22"/>
          <w:szCs w:val="22"/>
        </w:rPr>
      </w:pPr>
    </w:p>
    <w:p w14:paraId="3E120CAF" w14:textId="77777777" w:rsidR="00B91B6E" w:rsidRPr="00507BDF" w:rsidRDefault="00114305" w:rsidP="00507BDF">
      <w:pPr>
        <w:jc w:val="both"/>
        <w:rPr>
          <w:rFonts w:ascii="Lato" w:hAnsi="Lato"/>
          <w:sz w:val="22"/>
          <w:szCs w:val="22"/>
        </w:rPr>
      </w:pPr>
      <w:r w:rsidRPr="00507BDF">
        <w:rPr>
          <w:rFonts w:ascii="Lato" w:hAnsi="Lato"/>
          <w:sz w:val="22"/>
          <w:szCs w:val="22"/>
        </w:rPr>
        <w:t xml:space="preserve">Bilbao, 24 de abril de 2022. </w:t>
      </w:r>
      <w:r w:rsidR="00B91B6E" w:rsidRPr="00507BDF">
        <w:rPr>
          <w:rFonts w:ascii="Lato" w:hAnsi="Lato"/>
          <w:sz w:val="22"/>
          <w:szCs w:val="22"/>
        </w:rPr>
        <w:t xml:space="preserve">Mañana entrará en vigor el programa de </w:t>
      </w:r>
      <w:r w:rsidR="00F26994" w:rsidRPr="00507BDF">
        <w:rPr>
          <w:rFonts w:ascii="Lato" w:hAnsi="Lato"/>
          <w:sz w:val="22"/>
          <w:szCs w:val="22"/>
        </w:rPr>
        <w:t>Ayudas a la realización de auditorías energéticas integrales en PYME de los sectores industrial y terciario</w:t>
      </w:r>
      <w:r w:rsidR="00B91B6E" w:rsidRPr="00507BDF">
        <w:rPr>
          <w:rFonts w:ascii="Lato" w:hAnsi="Lato"/>
          <w:sz w:val="22"/>
          <w:szCs w:val="22"/>
        </w:rPr>
        <w:t xml:space="preserve">. </w:t>
      </w:r>
    </w:p>
    <w:p w14:paraId="557D77E1" w14:textId="77777777" w:rsidR="00B91B6E" w:rsidRPr="00507BDF" w:rsidRDefault="00B91B6E" w:rsidP="00507BDF">
      <w:pPr>
        <w:jc w:val="both"/>
        <w:rPr>
          <w:rFonts w:ascii="Lato" w:hAnsi="Lato"/>
          <w:sz w:val="22"/>
          <w:szCs w:val="22"/>
        </w:rPr>
      </w:pPr>
    </w:p>
    <w:p w14:paraId="496CD891" w14:textId="77777777" w:rsidR="00B91B6E" w:rsidRPr="00507BDF" w:rsidRDefault="00B91B6E" w:rsidP="00507BDF">
      <w:pPr>
        <w:jc w:val="both"/>
        <w:rPr>
          <w:rFonts w:ascii="Lato" w:hAnsi="Lato"/>
          <w:sz w:val="22"/>
          <w:szCs w:val="22"/>
        </w:rPr>
      </w:pPr>
      <w:r w:rsidRPr="00507BDF">
        <w:rPr>
          <w:rFonts w:ascii="Lato" w:hAnsi="Lato"/>
          <w:sz w:val="22"/>
          <w:szCs w:val="22"/>
        </w:rPr>
        <w:t>Las a</w:t>
      </w:r>
      <w:r w:rsidR="00F26994" w:rsidRPr="00507BDF">
        <w:rPr>
          <w:rFonts w:ascii="Lato" w:hAnsi="Lato"/>
          <w:sz w:val="22"/>
          <w:szCs w:val="22"/>
        </w:rPr>
        <w:t>ctuaciones subvencionables</w:t>
      </w:r>
      <w:r w:rsidRPr="00507BDF">
        <w:rPr>
          <w:rFonts w:ascii="Lato" w:hAnsi="Lato"/>
          <w:sz w:val="22"/>
          <w:szCs w:val="22"/>
        </w:rPr>
        <w:t xml:space="preserve"> serán a</w:t>
      </w:r>
      <w:r w:rsidR="00F26994" w:rsidRPr="00507BDF">
        <w:rPr>
          <w:rFonts w:ascii="Lato" w:hAnsi="Lato"/>
          <w:sz w:val="22"/>
          <w:szCs w:val="22"/>
        </w:rPr>
        <w:t>uditorías desarrolladas bajo la norma UNE-EN 16247, o sus modificaciones o mejoras posteriores</w:t>
      </w:r>
      <w:r w:rsidRPr="00507BDF">
        <w:rPr>
          <w:rFonts w:ascii="Lato" w:hAnsi="Lato"/>
          <w:sz w:val="22"/>
          <w:szCs w:val="22"/>
        </w:rPr>
        <w:t xml:space="preserve"> que tengan un efecto sobre la potencial implementación de energías renovables, el ahorro energético y eficiencia energética y las </w:t>
      </w:r>
      <w:r w:rsidR="00F26994" w:rsidRPr="00507BDF">
        <w:rPr>
          <w:rFonts w:ascii="Lato" w:hAnsi="Lato"/>
          <w:sz w:val="22"/>
          <w:szCs w:val="22"/>
        </w:rPr>
        <w:t>instalaciones</w:t>
      </w:r>
      <w:r w:rsidRPr="00507BDF">
        <w:rPr>
          <w:rFonts w:ascii="Lato" w:hAnsi="Lato"/>
          <w:sz w:val="22"/>
          <w:szCs w:val="22"/>
        </w:rPr>
        <w:t xml:space="preserve"> para las que se solicitan las ayudas deberán estar</w:t>
      </w:r>
      <w:r w:rsidR="00F26994" w:rsidRPr="00507BDF">
        <w:rPr>
          <w:rFonts w:ascii="Lato" w:hAnsi="Lato"/>
          <w:sz w:val="22"/>
          <w:szCs w:val="22"/>
        </w:rPr>
        <w:t xml:space="preserve"> ubicadas en el territorio de la C</w:t>
      </w:r>
      <w:r w:rsidRPr="00507BDF">
        <w:rPr>
          <w:rFonts w:ascii="Lato" w:hAnsi="Lato"/>
          <w:sz w:val="22"/>
          <w:szCs w:val="22"/>
        </w:rPr>
        <w:t>omunidad Autónoma de Euskadi.</w:t>
      </w:r>
    </w:p>
    <w:p w14:paraId="6FBD06BE" w14:textId="77777777" w:rsidR="00B91B6E" w:rsidRPr="00507BDF" w:rsidRDefault="00B91B6E" w:rsidP="00507BDF">
      <w:pPr>
        <w:jc w:val="both"/>
        <w:rPr>
          <w:rFonts w:ascii="Lato" w:hAnsi="Lato"/>
          <w:sz w:val="22"/>
          <w:szCs w:val="22"/>
        </w:rPr>
      </w:pPr>
    </w:p>
    <w:p w14:paraId="41B89F95" w14:textId="77777777" w:rsidR="00F26994" w:rsidRPr="00507BDF" w:rsidRDefault="00F26994" w:rsidP="00507BDF">
      <w:pPr>
        <w:jc w:val="both"/>
        <w:rPr>
          <w:rFonts w:ascii="Lato" w:hAnsi="Lato"/>
          <w:sz w:val="22"/>
          <w:szCs w:val="22"/>
        </w:rPr>
      </w:pPr>
      <w:r w:rsidRPr="00507BDF">
        <w:rPr>
          <w:rFonts w:ascii="Lato" w:hAnsi="Lato"/>
          <w:sz w:val="22"/>
          <w:szCs w:val="22"/>
        </w:rPr>
        <w:t>Las actuaciones descritas tendrán una ayuda del 50% del coste subvencionable.</w:t>
      </w:r>
    </w:p>
    <w:p w14:paraId="62CEFB02" w14:textId="77777777" w:rsidR="00F26994" w:rsidRPr="00507BDF" w:rsidRDefault="00F26994" w:rsidP="00507BDF">
      <w:pPr>
        <w:jc w:val="both"/>
        <w:rPr>
          <w:rFonts w:ascii="Lato" w:hAnsi="Lato"/>
          <w:sz w:val="22"/>
          <w:szCs w:val="22"/>
        </w:rPr>
      </w:pPr>
    </w:p>
    <w:p w14:paraId="39805A70" w14:textId="77777777" w:rsidR="00F26994" w:rsidRPr="00507BDF" w:rsidRDefault="00F26994" w:rsidP="00507BDF">
      <w:pPr>
        <w:jc w:val="both"/>
        <w:rPr>
          <w:rFonts w:ascii="Lato" w:hAnsi="Lato"/>
          <w:sz w:val="22"/>
          <w:szCs w:val="22"/>
        </w:rPr>
      </w:pPr>
      <w:r w:rsidRPr="00507BDF">
        <w:rPr>
          <w:rFonts w:ascii="Lato" w:hAnsi="Lato"/>
          <w:sz w:val="22"/>
          <w:szCs w:val="22"/>
        </w:rPr>
        <w:t>Se establece un límite máximo al coste subvencionable en función del consumo de energía por lo que, en ningún caso, el coste subvencionable sobre el que aplicar el porcentaje de ayuda superará dichos máximos:</w:t>
      </w:r>
    </w:p>
    <w:p w14:paraId="0C1A44F2" w14:textId="77777777" w:rsidR="00F26994" w:rsidRPr="00507BDF" w:rsidRDefault="00F26994" w:rsidP="00507BDF">
      <w:pPr>
        <w:jc w:val="both"/>
        <w:rPr>
          <w:rFonts w:ascii="Lato" w:hAnsi="Lato"/>
          <w:sz w:val="22"/>
          <w:szCs w:val="22"/>
        </w:rPr>
      </w:pPr>
    </w:p>
    <w:tbl>
      <w:tblPr>
        <w:tblStyle w:val="Tablaconcuadrcula"/>
        <w:tblW w:w="0" w:type="auto"/>
        <w:jc w:val="center"/>
        <w:tblLook w:val="04A0" w:firstRow="1" w:lastRow="0" w:firstColumn="1" w:lastColumn="0" w:noHBand="0" w:noVBand="1"/>
      </w:tblPr>
      <w:tblGrid>
        <w:gridCol w:w="1733"/>
        <w:gridCol w:w="1734"/>
        <w:gridCol w:w="2482"/>
      </w:tblGrid>
      <w:tr w:rsidR="00507BDF" w:rsidRPr="00507BDF" w14:paraId="75FE300F" w14:textId="77777777" w:rsidTr="00125A55">
        <w:trPr>
          <w:trHeight w:hRule="exact" w:val="651"/>
          <w:tblHeader/>
          <w:jc w:val="center"/>
        </w:trPr>
        <w:tc>
          <w:tcPr>
            <w:tcW w:w="3467" w:type="dxa"/>
            <w:gridSpan w:val="2"/>
            <w:shd w:val="clear" w:color="auto" w:fill="F2F2F2"/>
            <w:vAlign w:val="center"/>
          </w:tcPr>
          <w:p w14:paraId="66D3AB9D" w14:textId="77777777" w:rsidR="00507BDF" w:rsidRPr="00507BDF" w:rsidRDefault="00507BDF" w:rsidP="000C4382">
            <w:pPr>
              <w:pStyle w:val="Prrafodelista"/>
              <w:ind w:left="0"/>
              <w:rPr>
                <w:rFonts w:ascii="Lato" w:hAnsi="Lato" w:cs="Microsoft Sans Serif"/>
                <w:bCs/>
                <w:iCs/>
                <w:sz w:val="22"/>
                <w:szCs w:val="22"/>
              </w:rPr>
            </w:pPr>
            <w:r w:rsidRPr="00507BDF">
              <w:rPr>
                <w:rFonts w:ascii="Lato" w:hAnsi="Lato" w:cs="Microsoft Sans Serif"/>
                <w:sz w:val="22"/>
                <w:szCs w:val="22"/>
              </w:rPr>
              <w:t xml:space="preserve">Consumo de energía </w:t>
            </w:r>
            <w:r w:rsidRPr="00507BDF">
              <w:rPr>
                <w:rFonts w:ascii="Lato" w:hAnsi="Lato" w:cs="Microsoft Sans Serif"/>
                <w:sz w:val="22"/>
                <w:szCs w:val="22"/>
              </w:rPr>
              <w:br/>
              <w:t>(</w:t>
            </w:r>
            <w:proofErr w:type="spellStart"/>
            <w:r w:rsidRPr="00507BDF">
              <w:rPr>
                <w:rFonts w:ascii="Lato" w:hAnsi="Lato" w:cs="Microsoft Sans Serif"/>
                <w:sz w:val="22"/>
                <w:szCs w:val="22"/>
              </w:rPr>
              <w:t>tep</w:t>
            </w:r>
            <w:proofErr w:type="spellEnd"/>
            <w:r w:rsidRPr="00507BDF">
              <w:rPr>
                <w:rFonts w:ascii="Lato" w:hAnsi="Lato" w:cs="Microsoft Sans Serif"/>
                <w:sz w:val="22"/>
                <w:szCs w:val="22"/>
              </w:rPr>
              <w:t>/año)</w:t>
            </w:r>
          </w:p>
        </w:tc>
        <w:tc>
          <w:tcPr>
            <w:tcW w:w="2482" w:type="dxa"/>
            <w:shd w:val="clear" w:color="auto" w:fill="F2F2F2"/>
            <w:vAlign w:val="center"/>
          </w:tcPr>
          <w:p w14:paraId="616B8C9C" w14:textId="77777777" w:rsidR="00507BDF" w:rsidRPr="00507BDF" w:rsidRDefault="00507BDF" w:rsidP="00507BDF">
            <w:pPr>
              <w:pStyle w:val="Prrafodelista"/>
              <w:ind w:left="0"/>
              <w:jc w:val="both"/>
              <w:rPr>
                <w:rFonts w:ascii="Lato" w:hAnsi="Lato" w:cs="Microsoft Sans Serif"/>
                <w:sz w:val="22"/>
                <w:szCs w:val="22"/>
              </w:rPr>
            </w:pPr>
            <w:r w:rsidRPr="00507BDF">
              <w:rPr>
                <w:rFonts w:ascii="Lato" w:hAnsi="Lato" w:cs="Microsoft Sans Serif"/>
                <w:sz w:val="22"/>
                <w:szCs w:val="22"/>
              </w:rPr>
              <w:t>Coste subvencionable máximo (€)</w:t>
            </w:r>
          </w:p>
        </w:tc>
      </w:tr>
      <w:tr w:rsidR="00507BDF" w:rsidRPr="00507BDF" w14:paraId="4C38AF5D" w14:textId="77777777" w:rsidTr="00125A55">
        <w:trPr>
          <w:trHeight w:hRule="exact" w:val="284"/>
          <w:jc w:val="center"/>
        </w:trPr>
        <w:tc>
          <w:tcPr>
            <w:tcW w:w="1733" w:type="dxa"/>
            <w:vAlign w:val="center"/>
          </w:tcPr>
          <w:p w14:paraId="3386A52A"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300</w:t>
            </w:r>
          </w:p>
        </w:tc>
        <w:tc>
          <w:tcPr>
            <w:tcW w:w="1734" w:type="dxa"/>
            <w:vAlign w:val="center"/>
          </w:tcPr>
          <w:p w14:paraId="4F7AFD85"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&lt;500</w:t>
            </w:r>
          </w:p>
        </w:tc>
        <w:tc>
          <w:tcPr>
            <w:tcW w:w="2482" w:type="dxa"/>
            <w:vAlign w:val="center"/>
          </w:tcPr>
          <w:p w14:paraId="3C5CB92C"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9.800</w:t>
            </w:r>
          </w:p>
        </w:tc>
      </w:tr>
      <w:tr w:rsidR="00507BDF" w:rsidRPr="00507BDF" w14:paraId="25334E07" w14:textId="77777777" w:rsidTr="00125A55">
        <w:trPr>
          <w:trHeight w:hRule="exact" w:val="284"/>
          <w:jc w:val="center"/>
        </w:trPr>
        <w:tc>
          <w:tcPr>
            <w:tcW w:w="1733" w:type="dxa"/>
            <w:vAlign w:val="center"/>
          </w:tcPr>
          <w:p w14:paraId="35AC6F95"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150</w:t>
            </w:r>
          </w:p>
        </w:tc>
        <w:tc>
          <w:tcPr>
            <w:tcW w:w="1734" w:type="dxa"/>
            <w:vAlign w:val="center"/>
          </w:tcPr>
          <w:p w14:paraId="33417714"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&lt;300</w:t>
            </w:r>
          </w:p>
        </w:tc>
        <w:tc>
          <w:tcPr>
            <w:tcW w:w="2482" w:type="dxa"/>
            <w:vAlign w:val="center"/>
          </w:tcPr>
          <w:p w14:paraId="71820CD5"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7.700</w:t>
            </w:r>
          </w:p>
        </w:tc>
      </w:tr>
      <w:tr w:rsidR="00507BDF" w:rsidRPr="00507BDF" w14:paraId="13735C48" w14:textId="77777777" w:rsidTr="00125A55">
        <w:trPr>
          <w:trHeight w:hRule="exact" w:val="284"/>
          <w:jc w:val="center"/>
        </w:trPr>
        <w:tc>
          <w:tcPr>
            <w:tcW w:w="1733" w:type="dxa"/>
            <w:vAlign w:val="center"/>
          </w:tcPr>
          <w:p w14:paraId="3C4525C1"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50</w:t>
            </w:r>
          </w:p>
        </w:tc>
        <w:tc>
          <w:tcPr>
            <w:tcW w:w="1734" w:type="dxa"/>
            <w:vAlign w:val="center"/>
          </w:tcPr>
          <w:p w14:paraId="43C63454"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&lt;150</w:t>
            </w:r>
          </w:p>
        </w:tc>
        <w:tc>
          <w:tcPr>
            <w:tcW w:w="2482" w:type="dxa"/>
            <w:vAlign w:val="center"/>
          </w:tcPr>
          <w:p w14:paraId="25D264D7"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6.600</w:t>
            </w:r>
          </w:p>
        </w:tc>
      </w:tr>
      <w:tr w:rsidR="00507BDF" w:rsidRPr="00507BDF" w14:paraId="7FC260AA" w14:textId="77777777" w:rsidTr="00125A55">
        <w:trPr>
          <w:trHeight w:hRule="exact" w:val="284"/>
          <w:jc w:val="center"/>
        </w:trPr>
        <w:tc>
          <w:tcPr>
            <w:tcW w:w="1733" w:type="dxa"/>
            <w:vAlign w:val="center"/>
          </w:tcPr>
          <w:p w14:paraId="4BA7F745"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30</w:t>
            </w:r>
          </w:p>
        </w:tc>
        <w:tc>
          <w:tcPr>
            <w:tcW w:w="1734" w:type="dxa"/>
            <w:vAlign w:val="center"/>
          </w:tcPr>
          <w:p w14:paraId="05C5E5FD"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&lt;50</w:t>
            </w:r>
          </w:p>
        </w:tc>
        <w:tc>
          <w:tcPr>
            <w:tcW w:w="2482" w:type="dxa"/>
            <w:vAlign w:val="center"/>
          </w:tcPr>
          <w:p w14:paraId="1414DF2C"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5.300</w:t>
            </w:r>
          </w:p>
        </w:tc>
      </w:tr>
      <w:tr w:rsidR="00507BDF" w:rsidRPr="00507BDF" w14:paraId="6E3AAF96" w14:textId="77777777" w:rsidTr="00125A55">
        <w:trPr>
          <w:trHeight w:hRule="exact" w:val="284"/>
          <w:jc w:val="center"/>
        </w:trPr>
        <w:tc>
          <w:tcPr>
            <w:tcW w:w="1733" w:type="dxa"/>
            <w:vAlign w:val="center"/>
          </w:tcPr>
          <w:p w14:paraId="5F03571C"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20</w:t>
            </w:r>
          </w:p>
        </w:tc>
        <w:tc>
          <w:tcPr>
            <w:tcW w:w="1734" w:type="dxa"/>
            <w:vAlign w:val="center"/>
          </w:tcPr>
          <w:p w14:paraId="1E31C908"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&lt;30</w:t>
            </w:r>
          </w:p>
        </w:tc>
        <w:tc>
          <w:tcPr>
            <w:tcW w:w="2482" w:type="dxa"/>
            <w:vAlign w:val="center"/>
          </w:tcPr>
          <w:p w14:paraId="76F9F50B"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4.400</w:t>
            </w:r>
          </w:p>
        </w:tc>
      </w:tr>
      <w:tr w:rsidR="00507BDF" w:rsidRPr="00507BDF" w14:paraId="574D47C1" w14:textId="77777777" w:rsidTr="00125A55">
        <w:trPr>
          <w:trHeight w:hRule="exact" w:val="284"/>
          <w:jc w:val="center"/>
        </w:trPr>
        <w:tc>
          <w:tcPr>
            <w:tcW w:w="1733" w:type="dxa"/>
            <w:vAlign w:val="center"/>
          </w:tcPr>
          <w:p w14:paraId="5C6F12CA"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10</w:t>
            </w:r>
          </w:p>
        </w:tc>
        <w:tc>
          <w:tcPr>
            <w:tcW w:w="1734" w:type="dxa"/>
            <w:vAlign w:val="center"/>
          </w:tcPr>
          <w:p w14:paraId="2C30AE9E"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&lt;20</w:t>
            </w:r>
          </w:p>
        </w:tc>
        <w:tc>
          <w:tcPr>
            <w:tcW w:w="2482" w:type="dxa"/>
            <w:vAlign w:val="center"/>
          </w:tcPr>
          <w:p w14:paraId="62A7B811"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3.800</w:t>
            </w:r>
          </w:p>
        </w:tc>
      </w:tr>
      <w:tr w:rsidR="00507BDF" w:rsidRPr="00507BDF" w14:paraId="7A84E9EE" w14:textId="77777777" w:rsidTr="00125A55">
        <w:trPr>
          <w:trHeight w:hRule="exact" w:val="284"/>
          <w:jc w:val="center"/>
        </w:trPr>
        <w:tc>
          <w:tcPr>
            <w:tcW w:w="1733" w:type="dxa"/>
            <w:vAlign w:val="center"/>
          </w:tcPr>
          <w:p w14:paraId="4AC6A050"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0</w:t>
            </w:r>
          </w:p>
        </w:tc>
        <w:tc>
          <w:tcPr>
            <w:tcW w:w="1734" w:type="dxa"/>
            <w:vAlign w:val="center"/>
          </w:tcPr>
          <w:p w14:paraId="4100F7CD"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&lt;10</w:t>
            </w:r>
          </w:p>
        </w:tc>
        <w:tc>
          <w:tcPr>
            <w:tcW w:w="2482" w:type="dxa"/>
            <w:vAlign w:val="center"/>
          </w:tcPr>
          <w:p w14:paraId="5D2F4C09" w14:textId="77777777" w:rsidR="00507BDF" w:rsidRPr="00507BDF" w:rsidRDefault="00507BDF" w:rsidP="00507BDF">
            <w:pPr>
              <w:contextualSpacing/>
              <w:jc w:val="both"/>
              <w:rPr>
                <w:rFonts w:ascii="Lato" w:hAnsi="Lato"/>
                <w:sz w:val="22"/>
                <w:szCs w:val="22"/>
              </w:rPr>
            </w:pPr>
            <w:r w:rsidRPr="00507BDF">
              <w:rPr>
                <w:rFonts w:ascii="Lato" w:hAnsi="Lato"/>
                <w:sz w:val="22"/>
                <w:szCs w:val="22"/>
              </w:rPr>
              <w:t>3.300</w:t>
            </w:r>
          </w:p>
        </w:tc>
      </w:tr>
    </w:tbl>
    <w:p w14:paraId="580F488B" w14:textId="77777777" w:rsidR="00F26994" w:rsidRPr="00507BDF" w:rsidRDefault="00F26994" w:rsidP="00507BDF">
      <w:pPr>
        <w:jc w:val="both"/>
        <w:rPr>
          <w:rFonts w:ascii="Lato" w:hAnsi="Lato"/>
          <w:sz w:val="22"/>
          <w:szCs w:val="22"/>
        </w:rPr>
      </w:pPr>
    </w:p>
    <w:p w14:paraId="5D5EEAB7" w14:textId="77777777" w:rsidR="00F26994" w:rsidRPr="00507BDF" w:rsidRDefault="00F26994" w:rsidP="00507BDF">
      <w:pPr>
        <w:jc w:val="both"/>
        <w:rPr>
          <w:rFonts w:ascii="Lato" w:hAnsi="Lato"/>
          <w:sz w:val="22"/>
          <w:szCs w:val="22"/>
        </w:rPr>
      </w:pPr>
    </w:p>
    <w:p w14:paraId="1D5F4FBD" w14:textId="166AB9E1" w:rsidR="00F26994" w:rsidRPr="00507BDF" w:rsidRDefault="000C4382" w:rsidP="00507BDF">
      <w:pPr>
        <w:jc w:val="both"/>
        <w:rPr>
          <w:rFonts w:ascii="Lato" w:hAnsi="Lato"/>
          <w:sz w:val="22"/>
          <w:szCs w:val="22"/>
        </w:rPr>
      </w:pPr>
      <w:r>
        <w:rPr>
          <w:rFonts w:ascii="Lato" w:hAnsi="Lato"/>
          <w:sz w:val="22"/>
          <w:szCs w:val="22"/>
        </w:rPr>
        <w:t>Asimismo</w:t>
      </w:r>
      <w:r w:rsidR="00F26994" w:rsidRPr="00507BDF">
        <w:rPr>
          <w:rFonts w:ascii="Lato" w:hAnsi="Lato"/>
          <w:sz w:val="22"/>
          <w:szCs w:val="22"/>
        </w:rPr>
        <w:t>, se tendrá</w:t>
      </w:r>
      <w:r w:rsidR="00E001CA">
        <w:rPr>
          <w:rFonts w:ascii="Lato" w:hAnsi="Lato"/>
          <w:sz w:val="22"/>
          <w:szCs w:val="22"/>
        </w:rPr>
        <w:t>n</w:t>
      </w:r>
      <w:r w:rsidR="00F26994" w:rsidRPr="00507BDF">
        <w:rPr>
          <w:rFonts w:ascii="Lato" w:hAnsi="Lato"/>
          <w:sz w:val="22"/>
          <w:szCs w:val="22"/>
        </w:rPr>
        <w:t xml:space="preserve"> en cuenta</w:t>
      </w:r>
      <w:r w:rsidR="00E001CA">
        <w:rPr>
          <w:rFonts w:ascii="Lato" w:hAnsi="Lato"/>
          <w:sz w:val="22"/>
          <w:szCs w:val="22"/>
        </w:rPr>
        <w:t xml:space="preserve"> otros factores como</w:t>
      </w:r>
      <w:r w:rsidR="00F26994" w:rsidRPr="00507BDF">
        <w:rPr>
          <w:rFonts w:ascii="Lato" w:hAnsi="Lato"/>
          <w:sz w:val="22"/>
          <w:szCs w:val="22"/>
        </w:rPr>
        <w:t xml:space="preserve"> el alcance </w:t>
      </w:r>
      <w:r w:rsidR="00E001CA">
        <w:rPr>
          <w:rFonts w:ascii="Lato" w:hAnsi="Lato"/>
          <w:sz w:val="22"/>
          <w:szCs w:val="22"/>
        </w:rPr>
        <w:t xml:space="preserve">del análisis </w:t>
      </w:r>
      <w:r w:rsidR="00F26994" w:rsidRPr="00507BDF">
        <w:rPr>
          <w:rFonts w:ascii="Lato" w:hAnsi="Lato"/>
          <w:sz w:val="22"/>
          <w:szCs w:val="22"/>
        </w:rPr>
        <w:t>a desarrollar</w:t>
      </w:r>
      <w:r w:rsidR="00E001CA">
        <w:rPr>
          <w:rFonts w:ascii="Lato" w:hAnsi="Lato"/>
          <w:sz w:val="22"/>
          <w:szCs w:val="22"/>
        </w:rPr>
        <w:t>, el</w:t>
      </w:r>
      <w:r w:rsidR="00F26994" w:rsidRPr="00507BDF">
        <w:rPr>
          <w:rFonts w:ascii="Lato" w:hAnsi="Lato"/>
          <w:sz w:val="22"/>
          <w:szCs w:val="22"/>
        </w:rPr>
        <w:t xml:space="preserve"> perfil consumidor del solicitante, </w:t>
      </w:r>
      <w:r w:rsidR="00E001CA">
        <w:rPr>
          <w:rFonts w:ascii="Lato" w:hAnsi="Lato"/>
          <w:sz w:val="22"/>
          <w:szCs w:val="22"/>
        </w:rPr>
        <w:t xml:space="preserve">las </w:t>
      </w:r>
      <w:r w:rsidR="00F26994" w:rsidRPr="00507BDF">
        <w:rPr>
          <w:rFonts w:ascii="Lato" w:hAnsi="Lato"/>
          <w:sz w:val="22"/>
          <w:szCs w:val="22"/>
        </w:rPr>
        <w:t>energías consumidas</w:t>
      </w:r>
      <w:r w:rsidR="00E001CA">
        <w:rPr>
          <w:rFonts w:ascii="Lato" w:hAnsi="Lato"/>
          <w:sz w:val="22"/>
          <w:szCs w:val="22"/>
        </w:rPr>
        <w:t xml:space="preserve"> y las</w:t>
      </w:r>
      <w:r w:rsidR="00F26994" w:rsidRPr="00507BDF">
        <w:rPr>
          <w:rFonts w:ascii="Lato" w:hAnsi="Lato"/>
          <w:sz w:val="22"/>
          <w:szCs w:val="22"/>
        </w:rPr>
        <w:t xml:space="preserve"> monitorizaciones a realizar, </w:t>
      </w:r>
      <w:r w:rsidR="00E001CA">
        <w:rPr>
          <w:rFonts w:ascii="Lato" w:hAnsi="Lato"/>
          <w:sz w:val="22"/>
          <w:szCs w:val="22"/>
        </w:rPr>
        <w:t xml:space="preserve">así como los </w:t>
      </w:r>
      <w:r w:rsidR="00F26994" w:rsidRPr="00507BDF">
        <w:rPr>
          <w:rFonts w:ascii="Lato" w:hAnsi="Lato"/>
          <w:sz w:val="22"/>
          <w:szCs w:val="22"/>
        </w:rPr>
        <w:t xml:space="preserve">balances energéticos a desarrollar y su complejidad, </w:t>
      </w:r>
      <w:r w:rsidR="00E001CA">
        <w:rPr>
          <w:rFonts w:ascii="Lato" w:hAnsi="Lato"/>
          <w:sz w:val="22"/>
          <w:szCs w:val="22"/>
        </w:rPr>
        <w:t xml:space="preserve">y la ejecución de </w:t>
      </w:r>
      <w:r w:rsidR="00F26994" w:rsidRPr="00507BDF">
        <w:rPr>
          <w:rFonts w:ascii="Lato" w:hAnsi="Lato"/>
          <w:sz w:val="22"/>
          <w:szCs w:val="22"/>
        </w:rPr>
        <w:t>análisis de viabilidad de instalaciones de cogeneración</w:t>
      </w:r>
      <w:r w:rsidR="00E001CA">
        <w:rPr>
          <w:rFonts w:ascii="Lato" w:hAnsi="Lato"/>
          <w:sz w:val="22"/>
          <w:szCs w:val="22"/>
        </w:rPr>
        <w:t>.</w:t>
      </w:r>
    </w:p>
    <w:p w14:paraId="6C82D6A8" w14:textId="77777777" w:rsidR="00F26994" w:rsidRPr="00507BDF" w:rsidRDefault="00F26994" w:rsidP="00507BDF">
      <w:pPr>
        <w:jc w:val="both"/>
        <w:rPr>
          <w:rFonts w:ascii="Lato" w:hAnsi="Lato"/>
          <w:sz w:val="22"/>
          <w:szCs w:val="22"/>
        </w:rPr>
      </w:pPr>
    </w:p>
    <w:p w14:paraId="7271D26E" w14:textId="77777777" w:rsidR="00F26994" w:rsidRPr="00507BDF" w:rsidRDefault="00F26994" w:rsidP="00507BDF">
      <w:pPr>
        <w:jc w:val="both"/>
        <w:rPr>
          <w:rFonts w:ascii="Lato" w:hAnsi="Lato"/>
          <w:b/>
          <w:sz w:val="22"/>
          <w:szCs w:val="22"/>
        </w:rPr>
      </w:pPr>
      <w:r w:rsidRPr="00507BDF">
        <w:rPr>
          <w:rFonts w:ascii="Lato" w:hAnsi="Lato"/>
          <w:b/>
          <w:sz w:val="22"/>
          <w:szCs w:val="22"/>
        </w:rPr>
        <w:t>Teléfono de consulta</w:t>
      </w:r>
    </w:p>
    <w:p w14:paraId="13A2B947" w14:textId="77777777" w:rsidR="00F26994" w:rsidRPr="00507BDF" w:rsidRDefault="00F26994" w:rsidP="00507BDF">
      <w:pPr>
        <w:jc w:val="both"/>
        <w:rPr>
          <w:rFonts w:ascii="Lato" w:hAnsi="Lato"/>
          <w:sz w:val="22"/>
          <w:szCs w:val="22"/>
        </w:rPr>
      </w:pPr>
      <w:r w:rsidRPr="00507BDF">
        <w:rPr>
          <w:rFonts w:ascii="Lato" w:hAnsi="Lato"/>
          <w:sz w:val="22"/>
          <w:szCs w:val="22"/>
        </w:rPr>
        <w:t>El Centro de Atención al Usuario les atenderá en el 946.620.600</w:t>
      </w:r>
    </w:p>
    <w:p w14:paraId="64AAA13F" w14:textId="77777777" w:rsidR="00F26994" w:rsidRPr="00507BDF" w:rsidRDefault="00F26994" w:rsidP="00507BDF">
      <w:pPr>
        <w:jc w:val="both"/>
        <w:rPr>
          <w:rFonts w:ascii="Lato" w:hAnsi="Lato"/>
          <w:sz w:val="22"/>
          <w:szCs w:val="22"/>
        </w:rPr>
      </w:pPr>
    </w:p>
    <w:p w14:paraId="00F8E088" w14:textId="77777777" w:rsidR="00F26994" w:rsidRPr="00507BDF" w:rsidRDefault="00F26994" w:rsidP="00507BDF">
      <w:pPr>
        <w:jc w:val="both"/>
        <w:rPr>
          <w:rFonts w:ascii="Lato" w:hAnsi="Lato"/>
          <w:b/>
          <w:sz w:val="22"/>
          <w:szCs w:val="22"/>
        </w:rPr>
      </w:pPr>
      <w:r w:rsidRPr="00507BDF">
        <w:rPr>
          <w:rFonts w:ascii="Lato" w:hAnsi="Lato"/>
          <w:b/>
          <w:sz w:val="22"/>
          <w:szCs w:val="22"/>
        </w:rPr>
        <w:t>Tramitación de solicitudes</w:t>
      </w:r>
    </w:p>
    <w:p w14:paraId="66CA716F" w14:textId="77777777" w:rsidR="00F26994" w:rsidRPr="00507BDF" w:rsidRDefault="00F26994" w:rsidP="00507BDF">
      <w:pPr>
        <w:jc w:val="both"/>
        <w:rPr>
          <w:rFonts w:ascii="Lato" w:hAnsi="Lato"/>
          <w:sz w:val="22"/>
          <w:szCs w:val="22"/>
        </w:rPr>
      </w:pPr>
    </w:p>
    <w:p w14:paraId="7F6E99B8" w14:textId="1DCF790B" w:rsidR="00F26994" w:rsidRPr="00507BDF" w:rsidRDefault="0042444E" w:rsidP="00507BDF">
      <w:pPr>
        <w:jc w:val="both"/>
        <w:rPr>
          <w:rFonts w:ascii="Lato" w:hAnsi="Lato"/>
          <w:sz w:val="22"/>
          <w:szCs w:val="22"/>
        </w:rPr>
      </w:pPr>
      <w:r>
        <w:rPr>
          <w:rFonts w:ascii="Lato" w:hAnsi="Lato"/>
          <w:sz w:val="22"/>
          <w:szCs w:val="22"/>
        </w:rPr>
        <w:lastRenderedPageBreak/>
        <w:t>M</w:t>
      </w:r>
      <w:r w:rsidR="00F26994" w:rsidRPr="00507BDF">
        <w:rPr>
          <w:rFonts w:ascii="Lato" w:hAnsi="Lato"/>
          <w:sz w:val="22"/>
          <w:szCs w:val="22"/>
        </w:rPr>
        <w:t xml:space="preserve">ás información respecto a la tramitación de solicitudes de esta convocatoria </w:t>
      </w:r>
      <w:r>
        <w:rPr>
          <w:rFonts w:ascii="Lato" w:hAnsi="Lato"/>
          <w:sz w:val="22"/>
          <w:szCs w:val="22"/>
        </w:rPr>
        <w:t>en la sección</w:t>
      </w:r>
      <w:r w:rsidR="00F26994" w:rsidRPr="00507BDF">
        <w:rPr>
          <w:rFonts w:ascii="Lato" w:hAnsi="Lato"/>
          <w:sz w:val="22"/>
          <w:szCs w:val="22"/>
        </w:rPr>
        <w:t xml:space="preserve"> ayudas </w:t>
      </w:r>
      <w:r>
        <w:rPr>
          <w:rFonts w:ascii="Lato" w:hAnsi="Lato"/>
          <w:sz w:val="22"/>
          <w:szCs w:val="22"/>
        </w:rPr>
        <w:t xml:space="preserve">de </w:t>
      </w:r>
      <w:hyperlink r:id="rId6" w:history="1">
        <w:r w:rsidR="000C4382" w:rsidRPr="00A572CD">
          <w:rPr>
            <w:rStyle w:val="Hipervnculo"/>
            <w:rFonts w:ascii="Lato" w:hAnsi="Lato"/>
            <w:sz w:val="22"/>
            <w:szCs w:val="22"/>
          </w:rPr>
          <w:t>www.eve.eus</w:t>
        </w:r>
      </w:hyperlink>
      <w:r w:rsidR="000C4382">
        <w:rPr>
          <w:rFonts w:ascii="Lato" w:hAnsi="Lato"/>
          <w:sz w:val="22"/>
          <w:szCs w:val="22"/>
        </w:rPr>
        <w:t xml:space="preserve"> </w:t>
      </w:r>
    </w:p>
    <w:p w14:paraId="510C30D0" w14:textId="77777777" w:rsidR="006822E4" w:rsidRDefault="006822E4" w:rsidP="00F26994"/>
    <w:sectPr w:rsidR="006822E4" w:rsidSect="00676DD1">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0F77" w14:textId="77777777" w:rsidR="009E234D" w:rsidRDefault="009E234D" w:rsidP="00BF55BA">
      <w:r>
        <w:separator/>
      </w:r>
    </w:p>
  </w:endnote>
  <w:endnote w:type="continuationSeparator" w:id="0">
    <w:p w14:paraId="05230298" w14:textId="77777777" w:rsidR="009E234D" w:rsidRDefault="009E234D" w:rsidP="00BF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E41A" w14:textId="77777777" w:rsidR="004317BB" w:rsidRDefault="004317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FC88" w14:textId="77777777" w:rsidR="004317BB" w:rsidRDefault="004317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29BC" w14:textId="77777777" w:rsidR="004317BB" w:rsidRDefault="004317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3716" w14:textId="77777777" w:rsidR="009E234D" w:rsidRDefault="009E234D" w:rsidP="00BF55BA">
      <w:r>
        <w:separator/>
      </w:r>
    </w:p>
  </w:footnote>
  <w:footnote w:type="continuationSeparator" w:id="0">
    <w:p w14:paraId="66FE51E0" w14:textId="77777777" w:rsidR="009E234D" w:rsidRDefault="009E234D" w:rsidP="00BF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AF37" w14:textId="77777777" w:rsidR="004317BB" w:rsidRDefault="004317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4317BB" w14:paraId="73E34119" w14:textId="77777777" w:rsidTr="00C063BA">
      <w:tc>
        <w:tcPr>
          <w:tcW w:w="4244" w:type="dxa"/>
          <w:vAlign w:val="center"/>
        </w:tcPr>
        <w:p w14:paraId="400A9FAC" w14:textId="77777777" w:rsidR="004317BB" w:rsidRDefault="004317BB" w:rsidP="004317BB">
          <w:pPr>
            <w:pStyle w:val="Encabezado"/>
            <w:jc w:val="center"/>
          </w:pPr>
          <w:r>
            <w:rPr>
              <w:noProof/>
            </w:rPr>
            <w:drawing>
              <wp:inline distT="0" distB="0" distL="0" distR="0" wp14:anchorId="70455730" wp14:editId="2F2EB710">
                <wp:extent cx="1388286" cy="628469"/>
                <wp:effectExtent l="0" t="0" r="0" b="0"/>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55287" cy="658800"/>
                        </a:xfrm>
                        <a:prstGeom prst="rect">
                          <a:avLst/>
                        </a:prstGeom>
                      </pic:spPr>
                    </pic:pic>
                  </a:graphicData>
                </a:graphic>
              </wp:inline>
            </w:drawing>
          </w:r>
        </w:p>
      </w:tc>
      <w:tc>
        <w:tcPr>
          <w:tcW w:w="4244" w:type="dxa"/>
          <w:vAlign w:val="center"/>
        </w:tcPr>
        <w:p w14:paraId="729C5E86" w14:textId="77777777" w:rsidR="004317BB" w:rsidRDefault="004317BB" w:rsidP="004317BB">
          <w:pPr>
            <w:pStyle w:val="Encabezado"/>
            <w:jc w:val="center"/>
          </w:pPr>
          <w:r>
            <w:rPr>
              <w:noProof/>
            </w:rPr>
            <w:drawing>
              <wp:inline distT="0" distB="0" distL="0" distR="0" wp14:anchorId="2E31A692" wp14:editId="41D00D00">
                <wp:extent cx="1341751" cy="729408"/>
                <wp:effectExtent l="0" t="0" r="508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399330" cy="760709"/>
                        </a:xfrm>
                        <a:prstGeom prst="rect">
                          <a:avLst/>
                        </a:prstGeom>
                      </pic:spPr>
                    </pic:pic>
                  </a:graphicData>
                </a:graphic>
              </wp:inline>
            </w:drawing>
          </w:r>
        </w:p>
      </w:tc>
    </w:tr>
  </w:tbl>
  <w:p w14:paraId="6E8707B5" w14:textId="77777777" w:rsidR="004317BB" w:rsidRDefault="004317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C388" w14:textId="77777777" w:rsidR="004317BB" w:rsidRDefault="004317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94"/>
    <w:rsid w:val="000C4382"/>
    <w:rsid w:val="00101E6D"/>
    <w:rsid w:val="00114305"/>
    <w:rsid w:val="003365CA"/>
    <w:rsid w:val="0042444E"/>
    <w:rsid w:val="004317BB"/>
    <w:rsid w:val="00507BDF"/>
    <w:rsid w:val="00676DD1"/>
    <w:rsid w:val="006822E4"/>
    <w:rsid w:val="009E234D"/>
    <w:rsid w:val="00A03ECC"/>
    <w:rsid w:val="00AE1591"/>
    <w:rsid w:val="00B91B6E"/>
    <w:rsid w:val="00BF55BA"/>
    <w:rsid w:val="00E001CA"/>
    <w:rsid w:val="00F26994"/>
    <w:rsid w:val="00F40278"/>
    <w:rsid w:val="00FB12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5133F80"/>
  <w15:chartTrackingRefBased/>
  <w15:docId w15:val="{8A8B8C29-F58E-9D4F-821A-DB3102DE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07BDF"/>
    <w:pPr>
      <w:ind w:left="720"/>
      <w:contextualSpacing/>
    </w:pPr>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07BDF"/>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rsid w:val="00507BDF"/>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0C4382"/>
    <w:rPr>
      <w:color w:val="0563C1" w:themeColor="hyperlink"/>
      <w:u w:val="single"/>
    </w:rPr>
  </w:style>
  <w:style w:type="character" w:styleId="Mencinsinresolver">
    <w:name w:val="Unresolved Mention"/>
    <w:basedOn w:val="Fuentedeprrafopredeter"/>
    <w:uiPriority w:val="99"/>
    <w:semiHidden/>
    <w:unhideWhenUsed/>
    <w:rsid w:val="000C4382"/>
    <w:rPr>
      <w:color w:val="605E5C"/>
      <w:shd w:val="clear" w:color="auto" w:fill="E1DFDD"/>
    </w:rPr>
  </w:style>
  <w:style w:type="paragraph" w:styleId="Encabezado">
    <w:name w:val="header"/>
    <w:basedOn w:val="Normal"/>
    <w:link w:val="EncabezadoCar"/>
    <w:uiPriority w:val="99"/>
    <w:unhideWhenUsed/>
    <w:rsid w:val="00BF55BA"/>
    <w:pPr>
      <w:tabs>
        <w:tab w:val="center" w:pos="4419"/>
        <w:tab w:val="right" w:pos="8838"/>
      </w:tabs>
    </w:pPr>
  </w:style>
  <w:style w:type="character" w:customStyle="1" w:styleId="EncabezadoCar">
    <w:name w:val="Encabezado Car"/>
    <w:basedOn w:val="Fuentedeprrafopredeter"/>
    <w:link w:val="Encabezado"/>
    <w:uiPriority w:val="99"/>
    <w:rsid w:val="00BF55BA"/>
  </w:style>
  <w:style w:type="paragraph" w:styleId="Piedepgina">
    <w:name w:val="footer"/>
    <w:basedOn w:val="Normal"/>
    <w:link w:val="PiedepginaCar"/>
    <w:uiPriority w:val="99"/>
    <w:unhideWhenUsed/>
    <w:rsid w:val="00BF55BA"/>
    <w:pPr>
      <w:tabs>
        <w:tab w:val="center" w:pos="4419"/>
        <w:tab w:val="right" w:pos="8838"/>
      </w:tabs>
    </w:pPr>
  </w:style>
  <w:style w:type="character" w:customStyle="1" w:styleId="PiedepginaCar">
    <w:name w:val="Pie de página Car"/>
    <w:basedOn w:val="Fuentedeprrafopredeter"/>
    <w:link w:val="Piedepgina"/>
    <w:uiPriority w:val="99"/>
    <w:rsid w:val="00BF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ve.eu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Urko Garamendi</dc:creator>
  <cp:keywords/>
  <dc:description/>
  <cp:lastModifiedBy>Imanol Zenborain</cp:lastModifiedBy>
  <cp:revision>3</cp:revision>
  <dcterms:created xsi:type="dcterms:W3CDTF">2023-04-24T09:51:00Z</dcterms:created>
  <dcterms:modified xsi:type="dcterms:W3CDTF">2023-04-24T10:21:00Z</dcterms:modified>
</cp:coreProperties>
</file>