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1D143" w14:textId="77777777" w:rsidR="008E437F" w:rsidRDefault="008E437F">
      <w:pPr>
        <w:jc w:val="both"/>
        <w:rPr>
          <w:rFonts w:ascii="Lato Black" w:hAnsi="Lato Black"/>
          <w:b/>
          <w:bCs/>
          <w:sz w:val="31"/>
          <w:szCs w:val="31"/>
        </w:rPr>
      </w:pPr>
    </w:p>
    <w:p w14:paraId="5045CC28" w14:textId="77777777" w:rsidR="008E437F" w:rsidRDefault="00000000">
      <w:pPr>
        <w:pStyle w:val="P68B1DB1-Normal1"/>
        <w:jc w:val="center"/>
      </w:pPr>
      <w:r>
        <w:t>Sidenorrek eta EEEk indarrak batu dituzte euskal industrian energia berriztagarria bultzatzeko</w:t>
      </w:r>
    </w:p>
    <w:p w14:paraId="20B60C0D" w14:textId="77777777" w:rsidR="008E437F" w:rsidRDefault="008E437F">
      <w:pPr>
        <w:jc w:val="center"/>
        <w:rPr>
          <w:rFonts w:ascii="Times New Roman" w:hAnsi="Times New Roman" w:cs="Times New Roman"/>
          <w:b/>
          <w:bCs/>
        </w:rPr>
      </w:pPr>
    </w:p>
    <w:p w14:paraId="02F90952" w14:textId="77777777" w:rsidR="008E437F" w:rsidRDefault="008E437F">
      <w:pPr>
        <w:jc w:val="both"/>
        <w:rPr>
          <w:rFonts w:ascii="Times New Roman" w:hAnsi="Times New Roman" w:cs="Times New Roman"/>
          <w:b/>
          <w:bCs/>
        </w:rPr>
      </w:pPr>
    </w:p>
    <w:p w14:paraId="26E743EA" w14:textId="006D69AE" w:rsidR="008E437F" w:rsidRDefault="00000000">
      <w:pPr>
        <w:pStyle w:val="P68B1DB1-Prrafodelista2"/>
        <w:numPr>
          <w:ilvl w:val="0"/>
          <w:numId w:val="5"/>
        </w:numPr>
        <w:jc w:val="both"/>
      </w:pPr>
      <w:r>
        <w:t>Siderurgia</w:t>
      </w:r>
      <w:r w:rsidR="000604C4">
        <w:t xml:space="preserve"> hone</w:t>
      </w:r>
      <w:r>
        <w:t xml:space="preserve">k eta Energiaren Euskal Erakundeak Eguzkind elkartea sortu dute. Zortzi eguzki-instalazio fotovoltaiko izango ditu Katalunian, eta guztira 43 </w:t>
      </w:r>
      <w:r w:rsidR="000604C4">
        <w:t>MW</w:t>
      </w:r>
      <w:r>
        <w:t xml:space="preserve">-eko potentzia izango du. </w:t>
      </w:r>
    </w:p>
    <w:p w14:paraId="11253989" w14:textId="77777777" w:rsidR="008E437F" w:rsidRDefault="008E437F">
      <w:pPr>
        <w:pStyle w:val="Prrafodelista"/>
        <w:ind w:left="570"/>
        <w:jc w:val="both"/>
        <w:rPr>
          <w:rFonts w:ascii="Times New Roman" w:eastAsia="Times New Roman" w:hAnsi="Times New Roman" w:cs="Times New Roman"/>
          <w:b/>
          <w:bCs/>
          <w:sz w:val="21"/>
          <w:szCs w:val="21"/>
        </w:rPr>
      </w:pPr>
    </w:p>
    <w:p w14:paraId="5C1CF8DC" w14:textId="77777777" w:rsidR="008E437F" w:rsidRDefault="00000000">
      <w:pPr>
        <w:pStyle w:val="P68B1DB1-Prrafodelista2"/>
        <w:numPr>
          <w:ilvl w:val="0"/>
          <w:numId w:val="5"/>
        </w:numPr>
        <w:jc w:val="both"/>
      </w:pPr>
      <w:r>
        <w:t>Instalazio horiek eraikitzeko, 40 milioi euroko inbertsioa egingo da. Dagoeneko garatzen ari dira, eta 2023ko azken hiruhilekoan hasiko dira Sidenor energiaz hornitzen.</w:t>
      </w:r>
    </w:p>
    <w:p w14:paraId="5E8403AF" w14:textId="77777777" w:rsidR="008E437F" w:rsidRDefault="008E437F">
      <w:pPr>
        <w:pStyle w:val="Prrafodelista"/>
        <w:ind w:left="570"/>
        <w:jc w:val="both"/>
        <w:rPr>
          <w:rFonts w:ascii="Times New Roman" w:eastAsia="Times New Roman" w:hAnsi="Times New Roman" w:cs="Times New Roman"/>
          <w:b/>
          <w:bCs/>
          <w:sz w:val="21"/>
          <w:szCs w:val="21"/>
        </w:rPr>
      </w:pPr>
    </w:p>
    <w:p w14:paraId="098E42C5" w14:textId="0F5004C1" w:rsidR="008E437F" w:rsidRDefault="00000000">
      <w:pPr>
        <w:pStyle w:val="P68B1DB1-Prrafodelista2"/>
        <w:numPr>
          <w:ilvl w:val="0"/>
          <w:numId w:val="5"/>
        </w:numPr>
        <w:jc w:val="both"/>
      </w:pPr>
      <w:r>
        <w:t xml:space="preserve">Energia berde hori Sidenorrek erosiko du, </w:t>
      </w:r>
      <w:r w:rsidR="000604C4">
        <w:t xml:space="preserve">emisioez garbia den energia batez hornitzeko </w:t>
      </w:r>
      <w:r>
        <w:t>epe luzeko saleros</w:t>
      </w:r>
      <w:r w:rsidR="000604C4">
        <w:t>keta</w:t>
      </w:r>
      <w:r>
        <w:t xml:space="preserve"> akordio baten bidez.</w:t>
      </w:r>
    </w:p>
    <w:p w14:paraId="31A42C26" w14:textId="77777777" w:rsidR="008E437F" w:rsidRDefault="008E437F">
      <w:pPr>
        <w:jc w:val="both"/>
        <w:rPr>
          <w:rFonts w:ascii="Times New Roman" w:eastAsia="Times New Roman" w:hAnsi="Times New Roman" w:cs="Times New Roman"/>
          <w:b/>
          <w:bCs/>
          <w:sz w:val="21"/>
          <w:szCs w:val="21"/>
        </w:rPr>
      </w:pPr>
    </w:p>
    <w:p w14:paraId="023E8A92" w14:textId="62B5F019" w:rsidR="008E437F" w:rsidRDefault="00000000">
      <w:pPr>
        <w:pStyle w:val="P68B1DB1-Prrafodelista2"/>
        <w:numPr>
          <w:ilvl w:val="0"/>
          <w:numId w:val="4"/>
        </w:numPr>
        <w:ind w:left="567" w:hanging="357"/>
        <w:jc w:val="both"/>
      </w:pPr>
      <w:r>
        <w:t>Zortzi eguzki-instalazio fotovoltaiko horiek eraiki eta martxan jartzeak euskal industriaren deskarbonizazioan aurrera egitea eta Sidenorren hornidura elektrikoa bermatzea ahalbidetuko du.</w:t>
      </w:r>
    </w:p>
    <w:p w14:paraId="030D8FF6" w14:textId="77777777" w:rsidR="008E437F" w:rsidRDefault="008E437F">
      <w:pPr>
        <w:pStyle w:val="Prrafodelista"/>
        <w:ind w:left="567"/>
        <w:jc w:val="both"/>
        <w:rPr>
          <w:rFonts w:ascii="Times New Roman" w:eastAsia="Times New Roman" w:hAnsi="Times New Roman" w:cs="Times New Roman"/>
          <w:b/>
          <w:bCs/>
          <w:sz w:val="21"/>
          <w:szCs w:val="21"/>
        </w:rPr>
      </w:pPr>
    </w:p>
    <w:p w14:paraId="49042E57" w14:textId="3D778C49" w:rsidR="008E437F" w:rsidRDefault="00000000">
      <w:pPr>
        <w:pStyle w:val="P68B1DB1-Prrafodelista2"/>
        <w:numPr>
          <w:ilvl w:val="0"/>
          <w:numId w:val="4"/>
        </w:numPr>
        <w:ind w:left="567" w:hanging="357"/>
        <w:jc w:val="both"/>
      </w:pPr>
      <w:r>
        <w:t>Energiaren Euskal Erakundeak garapen jasangarrian eta deskarbonizazioan aurrera egiteko konpromisoarekin jarraitzen du, eta energia berriztagarriak eskuratzen laguntzen die euskal enpresei, energia-kostuei egonkortasuna ematen dieten epe luzeko kontratuen bidez.</w:t>
      </w:r>
    </w:p>
    <w:p w14:paraId="3456B192" w14:textId="77777777" w:rsidR="008E437F" w:rsidRDefault="008E437F">
      <w:pPr>
        <w:pStyle w:val="Prrafodelista"/>
        <w:ind w:left="567" w:hanging="360"/>
        <w:jc w:val="both"/>
        <w:rPr>
          <w:rFonts w:ascii="Times New Roman" w:eastAsia="Times New Roman" w:hAnsi="Times New Roman" w:cs="Times New Roman"/>
          <w:b/>
          <w:bCs/>
          <w:sz w:val="21"/>
          <w:szCs w:val="21"/>
        </w:rPr>
      </w:pPr>
    </w:p>
    <w:p w14:paraId="7CE70029" w14:textId="77777777" w:rsidR="008E437F" w:rsidRDefault="008E437F">
      <w:pPr>
        <w:jc w:val="both"/>
        <w:rPr>
          <w:sz w:val="20"/>
          <w:szCs w:val="22"/>
        </w:rPr>
      </w:pPr>
    </w:p>
    <w:p w14:paraId="44FE18BC" w14:textId="77777777" w:rsidR="008E437F" w:rsidRDefault="008E437F">
      <w:pPr>
        <w:jc w:val="both"/>
        <w:rPr>
          <w:sz w:val="20"/>
          <w:szCs w:val="22"/>
        </w:rPr>
      </w:pPr>
    </w:p>
    <w:p w14:paraId="6307B73E" w14:textId="1F3450EC" w:rsidR="008E437F" w:rsidRDefault="00000000">
      <w:pPr>
        <w:pStyle w:val="P68B1DB1-Normal3"/>
        <w:spacing w:line="360" w:lineRule="auto"/>
        <w:jc w:val="both"/>
      </w:pPr>
      <w:r>
        <w:rPr>
          <w:b/>
          <w:bCs/>
          <w:i/>
          <w:iCs/>
        </w:rPr>
        <w:t>Bilbon, 2023ko uztailaren 28an.</w:t>
      </w:r>
      <w:r>
        <w:t xml:space="preserve"> Euskal industriaren erronka da prezio lehiakorretan emisio-energia garbiak hornitzea, eta, testuinguru horretan, Energiaren Euskal Erakundeak (EEE) eta Sidenorrek erronka horri erantzuten dion ekimena jarri dute martxan. </w:t>
      </w:r>
    </w:p>
    <w:p w14:paraId="1A65862D" w14:textId="77777777" w:rsidR="008E437F" w:rsidRDefault="008E437F">
      <w:pPr>
        <w:spacing w:line="360" w:lineRule="auto"/>
        <w:jc w:val="both"/>
        <w:rPr>
          <w:rFonts w:ascii="Times New Roman" w:hAnsi="Times New Roman" w:cs="Times New Roman"/>
          <w:sz w:val="22"/>
          <w:szCs w:val="22"/>
        </w:rPr>
      </w:pPr>
    </w:p>
    <w:p w14:paraId="3A0DA249" w14:textId="2F0C8DD2" w:rsidR="008E437F" w:rsidRDefault="00000000">
      <w:pPr>
        <w:pStyle w:val="P68B1DB1-Normal3"/>
        <w:spacing w:line="360" w:lineRule="auto"/>
        <w:jc w:val="both"/>
      </w:pPr>
      <w:r>
        <w:t xml:space="preserve">Bi erakundeek, %50ean, Eguzkind elkartea eratu dute, eta zortzi eguzki-instalazio fotovoltaiko izango ditu. Gaur egun, Katalunian garatzen ari dira, zehazki, Lleidan, Tarragonan eta Bartzelonan. Proiektu horrek 40 milioi euroko inbertsioa ekarriko du, guztira 43 </w:t>
      </w:r>
      <w:r w:rsidR="00363BAB">
        <w:t>MW</w:t>
      </w:r>
      <w:r>
        <w:t xml:space="preserve">-eko potentzia instalatua. </w:t>
      </w:r>
    </w:p>
    <w:p w14:paraId="7C338CFC" w14:textId="77777777" w:rsidR="008E437F" w:rsidRDefault="008E437F">
      <w:pPr>
        <w:spacing w:line="360" w:lineRule="auto"/>
        <w:jc w:val="both"/>
        <w:rPr>
          <w:rFonts w:ascii="Times New Roman" w:hAnsi="Times New Roman" w:cs="Times New Roman"/>
          <w:sz w:val="22"/>
          <w:szCs w:val="22"/>
        </w:rPr>
      </w:pPr>
    </w:p>
    <w:p w14:paraId="38179F6A" w14:textId="43D9237F" w:rsidR="008E437F" w:rsidRDefault="00000000">
      <w:pPr>
        <w:pStyle w:val="P68B1DB1-Normal3"/>
        <w:spacing w:line="360" w:lineRule="auto"/>
        <w:jc w:val="both"/>
      </w:pPr>
      <w:r>
        <w:t>Horrela sortutako energia Sidenorrek erosiko du epe luzeko kontratu baten bidez (PPA), energiaren hornidura jasangarria bermatzeko.</w:t>
      </w:r>
    </w:p>
    <w:p w14:paraId="0ACC0CCF" w14:textId="77777777" w:rsidR="008E437F" w:rsidRDefault="008E437F">
      <w:pPr>
        <w:spacing w:line="360" w:lineRule="auto"/>
        <w:jc w:val="both"/>
        <w:rPr>
          <w:rFonts w:ascii="Times New Roman" w:hAnsi="Times New Roman" w:cs="Times New Roman"/>
          <w:sz w:val="22"/>
          <w:szCs w:val="22"/>
        </w:rPr>
      </w:pPr>
    </w:p>
    <w:p w14:paraId="7D4B77A0" w14:textId="247EBC6A" w:rsidR="008E437F" w:rsidRDefault="00000000">
      <w:pPr>
        <w:pStyle w:val="P68B1DB1-Normal3"/>
        <w:spacing w:line="360" w:lineRule="auto"/>
        <w:jc w:val="both"/>
      </w:pPr>
      <w:r>
        <w:t xml:space="preserve">Eguzkind-ek </w:t>
      </w:r>
      <w:r w:rsidR="00363BAB">
        <w:t xml:space="preserve">energia garbien bidez </w:t>
      </w:r>
      <w:r>
        <w:t>CO2 emisioak saihestuko ditu, eta Sidenorrek aktiboki hartuko du parte energia berriztagarrien sorkuntzan, eta, aldi berean, altzairu berdearen ekoizpenean aurrera egingo du.</w:t>
      </w:r>
    </w:p>
    <w:p w14:paraId="2C2F3CDD" w14:textId="77777777" w:rsidR="008E437F" w:rsidRDefault="008E437F">
      <w:pPr>
        <w:spacing w:line="360" w:lineRule="auto"/>
        <w:jc w:val="both"/>
        <w:rPr>
          <w:rFonts w:ascii="Times New Roman" w:hAnsi="Times New Roman" w:cs="Times New Roman"/>
          <w:sz w:val="22"/>
          <w:szCs w:val="22"/>
        </w:rPr>
      </w:pPr>
    </w:p>
    <w:p w14:paraId="78542AF5" w14:textId="17B4E206" w:rsidR="008E437F" w:rsidRDefault="009B54A9">
      <w:pPr>
        <w:spacing w:line="360" w:lineRule="auto"/>
        <w:jc w:val="both"/>
        <w:rPr>
          <w:rFonts w:ascii="Times New Roman" w:hAnsi="Times New Roman" w:cs="Times New Roman"/>
          <w:sz w:val="22"/>
          <w:szCs w:val="22"/>
        </w:rPr>
      </w:pPr>
      <w:r w:rsidRPr="009B54A9">
        <w:rPr>
          <w:rFonts w:ascii="Times New Roman" w:hAnsi="Times New Roman" w:cs="Times New Roman"/>
          <w:sz w:val="22"/>
          <w:szCs w:val="22"/>
        </w:rPr>
        <w:lastRenderedPageBreak/>
        <w:t xml:space="preserve">Energiaren Euskal Erakundeak lankidetza-proiektu publiko eta pribatu honekin duen konpromisoa garapen jasangarriarekin eta deskarbonizazioarekin lotutako energia-trantsizioaren hainbat alderdi bultzatzeko estrategiaren barruan </w:t>
      </w:r>
      <w:r>
        <w:rPr>
          <w:rFonts w:ascii="Times New Roman" w:hAnsi="Times New Roman" w:cs="Times New Roman"/>
          <w:sz w:val="22"/>
          <w:szCs w:val="22"/>
        </w:rPr>
        <w:t>kokatze</w:t>
      </w:r>
      <w:r w:rsidRPr="009B54A9">
        <w:rPr>
          <w:rFonts w:ascii="Times New Roman" w:hAnsi="Times New Roman" w:cs="Times New Roman"/>
          <w:sz w:val="22"/>
          <w:szCs w:val="22"/>
        </w:rPr>
        <w:t>n da, zehazki, energia-kostuei egonkortasuna ematea ahalbidetzen duten epe luzeko kontratuen bidez energia berriztagarriak eskuratzeko euskal enpresei ematen dien laguntzari dagokionez.</w:t>
      </w:r>
    </w:p>
    <w:p w14:paraId="416D6AD7" w14:textId="77777777" w:rsidR="009B54A9" w:rsidRDefault="009B54A9">
      <w:pPr>
        <w:spacing w:line="360" w:lineRule="auto"/>
        <w:jc w:val="both"/>
        <w:rPr>
          <w:rFonts w:ascii="Times New Roman" w:hAnsi="Times New Roman" w:cs="Times New Roman"/>
          <w:sz w:val="22"/>
          <w:szCs w:val="22"/>
        </w:rPr>
      </w:pPr>
    </w:p>
    <w:p w14:paraId="5532A417" w14:textId="77777777" w:rsidR="008E437F" w:rsidRDefault="00000000">
      <w:pPr>
        <w:pStyle w:val="P68B1DB1-Normal3"/>
        <w:spacing w:line="360" w:lineRule="auto"/>
        <w:jc w:val="both"/>
      </w:pPr>
      <w:r>
        <w:t xml:space="preserve">Sidenorren aburuz, energiaren kostua faktore kritikoa da, eta azken urteotan eragin nabarmena izan du haren jardueran. Gainera, altzairu berdeen deskarbonizazioa eta ekoizpena lehentasun estrategiko bat dira, non Sidenor teknologia berrien, inbertsio oso garrantzitsuen eta emisiorik gabeko energien bidez garatzen baita. </w:t>
      </w:r>
    </w:p>
    <w:p w14:paraId="12CDDB54" w14:textId="77777777" w:rsidR="008E437F" w:rsidRDefault="00000000">
      <w:pPr>
        <w:pStyle w:val="P68B1DB1-CuerpoA4"/>
        <w:spacing w:before="120" w:after="120" w:line="360" w:lineRule="auto"/>
        <w:jc w:val="both"/>
      </w:pPr>
      <w:r>
        <w:t>Sidenorri buruz</w:t>
      </w:r>
    </w:p>
    <w:p w14:paraId="7E63D83D" w14:textId="77777777" w:rsidR="008E437F" w:rsidRDefault="00000000">
      <w:pPr>
        <w:pStyle w:val="P68B1DB1-Textosinformato5"/>
        <w:spacing w:before="120" w:after="120" w:line="360" w:lineRule="auto"/>
        <w:jc w:val="both"/>
      </w:pPr>
      <w:r>
        <w:t>Sidenor industria-talde aitzindaria da altzairu luze berezien ekoizpenean. Ekoizpen-zentroak ditu Euskal Herrian, Kantabrian eta Katalunian, eta ordezkaritza komertzialak ditu Alemanian, Frantzian, Italian eta Erresuma Batuan.</w:t>
      </w:r>
    </w:p>
    <w:p w14:paraId="576B9B3D" w14:textId="77777777" w:rsidR="008E437F" w:rsidRDefault="00000000">
      <w:pPr>
        <w:pStyle w:val="P68B1DB1-Textosinformato5"/>
        <w:spacing w:before="120" w:after="120" w:line="360" w:lineRule="auto"/>
        <w:jc w:val="both"/>
      </w:pPr>
      <w:r>
        <w:t>Konpainia sektorearen abangoardian dago, ikerketarekiko konpromiso sendoari esker. Europako altzairu bereziaren ekoizleen artean I+G zentro handienetako bat du, eta bertan produktu berriak sortzeko eta prozesuak optimizatzeko garapen teknologikoak egiten ditu.</w:t>
      </w:r>
    </w:p>
    <w:p w14:paraId="7103FF44" w14:textId="77777777" w:rsidR="009B54A9" w:rsidRDefault="009B54A9">
      <w:pPr>
        <w:pStyle w:val="P68B1DB1-CuerpoA4"/>
        <w:spacing w:before="120" w:after="120" w:line="360" w:lineRule="auto"/>
        <w:jc w:val="both"/>
      </w:pPr>
    </w:p>
    <w:p w14:paraId="0467C431" w14:textId="3E878B9E" w:rsidR="008E437F" w:rsidRDefault="00000000">
      <w:pPr>
        <w:pStyle w:val="P68B1DB1-CuerpoA4"/>
        <w:spacing w:before="120" w:after="120" w:line="360" w:lineRule="auto"/>
        <w:jc w:val="both"/>
      </w:pPr>
      <w:r>
        <w:t>Energiaren Euskal Erakundeari buruz</w:t>
      </w:r>
    </w:p>
    <w:p w14:paraId="4225E030" w14:textId="09512680" w:rsidR="008E437F" w:rsidRDefault="00000000">
      <w:pPr>
        <w:pStyle w:val="P68B1DB1-CuerpoA6"/>
        <w:spacing w:before="120" w:after="120" w:line="360" w:lineRule="auto"/>
        <w:jc w:val="both"/>
      </w:pPr>
      <w:r>
        <w:t xml:space="preserve">Eusko Jaurlaritzako Energia Agentzia, Energiaren Euskal Erakundea (EEE), arduratzen da Euskadiko Energia Estrategiak proposatzeaz, horretarako bere ezagutza teknikoan eta aditu-lanean oinarrituta, eta aktiboki parte hartzen du ezarritako helburuak betetzeko garapenean. </w:t>
      </w:r>
    </w:p>
    <w:p w14:paraId="370B0AE0" w14:textId="27906A25" w:rsidR="008E437F" w:rsidRDefault="00000000">
      <w:pPr>
        <w:pStyle w:val="P68B1DB1-CuerpoA6"/>
        <w:spacing w:before="120" w:after="120" w:line="360" w:lineRule="auto"/>
        <w:jc w:val="both"/>
      </w:pPr>
      <w:r>
        <w:t>Energia-sektoreko eragileekin batera, hainbat proiektu eta ekimen sustatzen ditu, energia-eraginkortasunaren, energia-hornidurako iturriak dibertsifikatzearen eta energia berriztagarriak ezartzearen inguruan. Azken helburua da energiaren jasangarritasuna lortzea eta euskal gizarte osoarentzako kalitatezko eta lehiakorreko energia-hornidura bermatzea.</w:t>
      </w:r>
    </w:p>
    <w:p w14:paraId="7005C688" w14:textId="77777777" w:rsidR="008E437F" w:rsidRDefault="008E437F">
      <w:pPr>
        <w:jc w:val="both"/>
      </w:pPr>
    </w:p>
    <w:p w14:paraId="289E3E60" w14:textId="77777777" w:rsidR="008E437F" w:rsidRDefault="008E437F">
      <w:pPr>
        <w:jc w:val="both"/>
      </w:pPr>
    </w:p>
    <w:p w14:paraId="59CBC32A" w14:textId="77777777" w:rsidR="008E437F" w:rsidRDefault="00000000">
      <w:pPr>
        <w:pStyle w:val="P68B1DB1-Normal7"/>
        <w:jc w:val="right"/>
        <w:rPr>
          <w:color w:val="808080"/>
        </w:rPr>
      </w:pPr>
      <w:r>
        <w:rPr>
          <w:color w:val="000080"/>
          <w:spacing w:val="-50"/>
        </w:rPr>
        <w:t>V</w:t>
      </w:r>
      <w:r>
        <w:rPr>
          <w:spacing w:val="-50"/>
        </w:rPr>
        <w:t xml:space="preserve"> </w:t>
      </w:r>
      <w:r>
        <w:rPr>
          <w:color w:val="008080"/>
          <w:spacing w:val="-50"/>
        </w:rPr>
        <w:t>K</w:t>
      </w:r>
      <w:r>
        <w:rPr>
          <w:spacing w:val="-50"/>
        </w:rPr>
        <w:t xml:space="preserve">  </w:t>
      </w:r>
      <w:r>
        <w:rPr>
          <w:color w:val="808080"/>
        </w:rPr>
        <w:t>Komunikazioa</w:t>
      </w:r>
    </w:p>
    <w:p w14:paraId="790AF760" w14:textId="77777777" w:rsidR="008E437F" w:rsidRDefault="00000000">
      <w:pPr>
        <w:pStyle w:val="P68B1DB1-Encabezado8"/>
        <w:tabs>
          <w:tab w:val="left" w:pos="708"/>
        </w:tabs>
        <w:jc w:val="right"/>
        <w:rPr>
          <w:rFonts w:cs="Times New Roman"/>
        </w:rPr>
      </w:pPr>
      <w:r>
        <w:t xml:space="preserve">Informazio gehiago: </w:t>
      </w:r>
    </w:p>
    <w:p w14:paraId="34C104E7" w14:textId="77777777" w:rsidR="008E437F" w:rsidRDefault="00000000">
      <w:pPr>
        <w:pStyle w:val="P68B1DB1-Encabezado9"/>
        <w:jc w:val="right"/>
      </w:pPr>
      <w:r>
        <w:t>Patricia Loredo Sierra</w:t>
      </w:r>
    </w:p>
    <w:p w14:paraId="6BE5E277" w14:textId="77777777" w:rsidR="008E437F" w:rsidRDefault="00000000">
      <w:pPr>
        <w:pStyle w:val="P68B1DB1-Encabezado9"/>
        <w:jc w:val="right"/>
      </w:pPr>
      <w:r>
        <w:t>944 01 53 06 / 629 74 90 47</w:t>
      </w:r>
    </w:p>
    <w:p w14:paraId="6D2DD32F" w14:textId="77777777" w:rsidR="008E437F" w:rsidRDefault="00000000">
      <w:pPr>
        <w:jc w:val="right"/>
      </w:pPr>
      <w:hyperlink w:history="1">
        <w:r>
          <w:rPr>
            <w:rStyle w:val="Hipervnculo"/>
            <w:rFonts w:ascii="Times New Roman" w:hAnsi="Times New Roman"/>
            <w:b/>
            <w:bCs/>
            <w:sz w:val="23"/>
            <w:szCs w:val="23"/>
          </w:rPr>
          <w:t>patricia@vkcomunicacion.com</w:t>
        </w:r>
      </w:hyperlink>
    </w:p>
    <w:p w14:paraId="120B97E8" w14:textId="77777777" w:rsidR="008E437F" w:rsidRDefault="008E437F">
      <w:pPr>
        <w:jc w:val="both"/>
      </w:pPr>
    </w:p>
    <w:sectPr w:rsidR="008E437F">
      <w:headerReference w:type="default" r:id="rId11"/>
      <w:footerReference w:type="even" r:id="rId12"/>
      <w:footerReference w:type="default" r:id="rId13"/>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5454B" w14:textId="77777777" w:rsidR="00CE786C" w:rsidRDefault="00CE786C">
      <w:r>
        <w:separator/>
      </w:r>
    </w:p>
  </w:endnote>
  <w:endnote w:type="continuationSeparator" w:id="0">
    <w:p w14:paraId="26C3F995" w14:textId="77777777" w:rsidR="00CE786C" w:rsidRDefault="00CE7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Times New Roman (Cuerpo en alfa">
    <w:altName w:val="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Lato Black">
    <w:altName w:val="Segoe UI"/>
    <w:panose1 w:val="020F0A02020204030203"/>
    <w:charset w:val="00"/>
    <w:family w:val="swiss"/>
    <w:pitch w:val="variable"/>
    <w:sig w:usb0="E10002FF" w:usb1="5000ECFF" w:usb2="00000021" w:usb3="00000000" w:csb0="0000019F" w:csb1="00000000"/>
  </w:font>
  <w:font w:name="Lato Light">
    <w:altName w:val="Segoe UI"/>
    <w:panose1 w:val="020F03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560783055"/>
      <w:docPartObj>
        <w:docPartGallery w:val="Page Numbers (Bottom of Page)"/>
        <w:docPartUnique/>
      </w:docPartObj>
    </w:sdtPr>
    <w:sdtContent>
      <w:p w14:paraId="06A90487" w14:textId="77777777" w:rsidR="008E437F"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1D1F6212" w14:textId="77777777" w:rsidR="008E437F" w:rsidRDefault="008E437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209714075"/>
      <w:docPartObj>
        <w:docPartGallery w:val="Page Numbers (Bottom of Page)"/>
        <w:docPartUnique/>
      </w:docPartObj>
    </w:sdtPr>
    <w:sdtContent>
      <w:p w14:paraId="63C99CF4" w14:textId="77777777" w:rsidR="008E437F" w:rsidRDefault="00000000">
        <w:pPr>
          <w:pStyle w:val="Piedepgina"/>
          <w:framePr w:wrap="none" w:vAnchor="text" w:hAnchor="margin" w:xAlign="right" w:y="1"/>
          <w:rPr>
            <w:rStyle w:val="Nmerodepgina"/>
          </w:rPr>
        </w:pPr>
        <w:r>
          <w:rPr>
            <w:rStyle w:val="Nmerodepgina"/>
            <w:rFonts w:ascii="Lato Light" w:hAnsi="Lato Light"/>
            <w:sz w:val="20"/>
            <w:szCs w:val="18"/>
          </w:rPr>
          <w:fldChar w:fldCharType="begin"/>
        </w:r>
        <w:r>
          <w:rPr>
            <w:rStyle w:val="Nmerodepgina"/>
            <w:rFonts w:ascii="Lato Light" w:hAnsi="Lato Light"/>
            <w:sz w:val="20"/>
            <w:szCs w:val="18"/>
          </w:rPr>
          <w:instrText xml:space="preserve"> PAGE </w:instrText>
        </w:r>
        <w:r>
          <w:rPr>
            <w:rStyle w:val="Nmerodepgina"/>
            <w:rFonts w:ascii="Lato Light" w:hAnsi="Lato Light"/>
            <w:sz w:val="20"/>
            <w:szCs w:val="18"/>
          </w:rPr>
          <w:fldChar w:fldCharType="separate"/>
        </w:r>
        <w:r>
          <w:rPr>
            <w:rStyle w:val="Nmerodepgina"/>
            <w:rFonts w:ascii="Lato Light" w:hAnsi="Lato Light"/>
            <w:sz w:val="20"/>
            <w:szCs w:val="18"/>
          </w:rPr>
          <w:t>1</w:t>
        </w:r>
        <w:r>
          <w:rPr>
            <w:rStyle w:val="Nmerodepgina"/>
            <w:rFonts w:ascii="Lato Light" w:hAnsi="Lato Light"/>
            <w:sz w:val="20"/>
            <w:szCs w:val="18"/>
          </w:rPr>
          <w:fldChar w:fldCharType="end"/>
        </w:r>
      </w:p>
    </w:sdtContent>
  </w:sdt>
  <w:p w14:paraId="48972EFB" w14:textId="77777777" w:rsidR="008E437F" w:rsidRDefault="008E437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5E396" w14:textId="77777777" w:rsidR="00CE786C" w:rsidRDefault="00CE786C">
      <w:r>
        <w:separator/>
      </w:r>
    </w:p>
  </w:footnote>
  <w:footnote w:type="continuationSeparator" w:id="0">
    <w:p w14:paraId="237B5C0A" w14:textId="77777777" w:rsidR="00CE786C" w:rsidRDefault="00CE7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1"/>
      <w:gridCol w:w="1800"/>
      <w:gridCol w:w="2777"/>
      <w:gridCol w:w="2336"/>
    </w:tblGrid>
    <w:tr w:rsidR="008E437F" w14:paraId="64BAA237" w14:textId="77777777">
      <w:tc>
        <w:tcPr>
          <w:tcW w:w="1801" w:type="dxa"/>
        </w:tcPr>
        <w:p w14:paraId="76C4CE6A" w14:textId="6F645250" w:rsidR="008E437F" w:rsidRDefault="00000000">
          <w:pPr>
            <w:pStyle w:val="Encabezado"/>
          </w:pPr>
          <w:r>
            <w:rPr>
              <w:noProof/>
            </w:rPr>
            <w:drawing>
              <wp:anchor distT="0" distB="0" distL="114300" distR="114300" simplePos="0" relativeHeight="251659264" behindDoc="0" locked="0" layoutInCell="1" allowOverlap="1" wp14:anchorId="76B6B607" wp14:editId="5A722B32">
                <wp:simplePos x="0" y="0"/>
                <wp:positionH relativeFrom="column">
                  <wp:posOffset>-1270</wp:posOffset>
                </wp:positionH>
                <wp:positionV relativeFrom="paragraph">
                  <wp:posOffset>3175</wp:posOffset>
                </wp:positionV>
                <wp:extent cx="1514475" cy="600075"/>
                <wp:effectExtent l="19050" t="0" r="9525" b="0"/>
                <wp:wrapNone/>
                <wp:docPr id="3" name="Imagen 2" descr="SIDEN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DENOR logo"/>
                        <pic:cNvPicPr>
                          <a:picLocks noChangeAspect="1" noChangeArrowheads="1"/>
                        </pic:cNvPicPr>
                      </pic:nvPicPr>
                      <pic:blipFill>
                        <a:blip r:embed="rId1"/>
                        <a:srcRect/>
                        <a:stretch>
                          <a:fillRect/>
                        </a:stretch>
                      </pic:blipFill>
                      <pic:spPr bwMode="auto">
                        <a:xfrm>
                          <a:off x="0" y="0"/>
                          <a:ext cx="1514475" cy="600075"/>
                        </a:xfrm>
                        <a:prstGeom prst="rect">
                          <a:avLst/>
                        </a:prstGeom>
                        <a:noFill/>
                        <a:ln w="9525">
                          <a:noFill/>
                          <a:miter lim="800000"/>
                          <a:headEnd/>
                          <a:tailEnd/>
                        </a:ln>
                      </pic:spPr>
                    </pic:pic>
                  </a:graphicData>
                </a:graphic>
              </wp:anchor>
            </w:drawing>
          </w:r>
        </w:p>
      </w:tc>
      <w:tc>
        <w:tcPr>
          <w:tcW w:w="1800" w:type="dxa"/>
        </w:tcPr>
        <w:p w14:paraId="772FB0FD" w14:textId="77777777" w:rsidR="008E437F" w:rsidRDefault="008E437F">
          <w:pPr>
            <w:pStyle w:val="Encabezado"/>
          </w:pPr>
        </w:p>
      </w:tc>
      <w:tc>
        <w:tcPr>
          <w:tcW w:w="2777" w:type="dxa"/>
        </w:tcPr>
        <w:p w14:paraId="7BA5DD1B" w14:textId="781352C2" w:rsidR="008E437F" w:rsidRDefault="00000000">
          <w:pPr>
            <w:pStyle w:val="Encabezado"/>
          </w:pPr>
          <w:r>
            <w:rPr>
              <w:noProof/>
            </w:rPr>
            <w:drawing>
              <wp:inline distT="0" distB="0" distL="0" distR="0" wp14:anchorId="185AC89A" wp14:editId="6DCE739D">
                <wp:extent cx="1626433" cy="736277"/>
                <wp:effectExtent l="0" t="0" r="0" b="635"/>
                <wp:docPr id="4" name="Imagen 1" descr="Texto, Cart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 Carta  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733478" cy="784736"/>
                        </a:xfrm>
                        <a:prstGeom prst="rect">
                          <a:avLst/>
                        </a:prstGeom>
                      </pic:spPr>
                    </pic:pic>
                  </a:graphicData>
                </a:graphic>
              </wp:inline>
            </w:drawing>
          </w:r>
        </w:p>
      </w:tc>
      <w:tc>
        <w:tcPr>
          <w:tcW w:w="2336" w:type="dxa"/>
        </w:tcPr>
        <w:p w14:paraId="2520571C" w14:textId="127C09FE" w:rsidR="008E437F" w:rsidRDefault="00000000">
          <w:pPr>
            <w:pStyle w:val="Encabezado"/>
          </w:pPr>
          <w:r>
            <w:rPr>
              <w:noProof/>
            </w:rPr>
            <w:drawing>
              <wp:inline distT="0" distB="0" distL="0" distR="0" wp14:anchorId="3B9808D3" wp14:editId="52975F4B">
                <wp:extent cx="1341751" cy="729408"/>
                <wp:effectExtent l="0" t="0" r="5080" b="0"/>
                <wp:docPr id="2" name="Imagen 2"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exto  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399330" cy="760709"/>
                        </a:xfrm>
                        <a:prstGeom prst="rect">
                          <a:avLst/>
                        </a:prstGeom>
                      </pic:spPr>
                    </pic:pic>
                  </a:graphicData>
                </a:graphic>
              </wp:inline>
            </w:drawing>
          </w:r>
        </w:p>
      </w:tc>
    </w:tr>
  </w:tbl>
  <w:p w14:paraId="30B55A36" w14:textId="77777777" w:rsidR="008E437F" w:rsidRDefault="008E43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1F2F"/>
    <w:multiLevelType w:val="hybridMultilevel"/>
    <w:tmpl w:val="0DFE484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90D38C5"/>
    <w:multiLevelType w:val="hybridMultilevel"/>
    <w:tmpl w:val="AE20872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33877067"/>
    <w:multiLevelType w:val="hybridMultilevel"/>
    <w:tmpl w:val="D40ED9AE"/>
    <w:lvl w:ilvl="0" w:tplc="0C0A0001">
      <w:start w:val="1"/>
      <w:numFmt w:val="bullet"/>
      <w:lvlText w:val=""/>
      <w:lvlJc w:val="left"/>
      <w:pPr>
        <w:ind w:left="570" w:hanging="360"/>
      </w:pPr>
      <w:rPr>
        <w:rFonts w:ascii="Symbol" w:hAnsi="Symbol" w:hint="default"/>
      </w:rPr>
    </w:lvl>
    <w:lvl w:ilvl="1" w:tplc="0C0A0003" w:tentative="1">
      <w:start w:val="1"/>
      <w:numFmt w:val="bullet"/>
      <w:lvlText w:val="o"/>
      <w:lvlJc w:val="left"/>
      <w:pPr>
        <w:ind w:left="1290" w:hanging="360"/>
      </w:pPr>
      <w:rPr>
        <w:rFonts w:ascii="Courier New" w:hAnsi="Courier New" w:cs="Courier New" w:hint="default"/>
      </w:rPr>
    </w:lvl>
    <w:lvl w:ilvl="2" w:tplc="0C0A0005" w:tentative="1">
      <w:start w:val="1"/>
      <w:numFmt w:val="bullet"/>
      <w:lvlText w:val=""/>
      <w:lvlJc w:val="left"/>
      <w:pPr>
        <w:ind w:left="2010" w:hanging="360"/>
      </w:pPr>
      <w:rPr>
        <w:rFonts w:ascii="Wingdings" w:hAnsi="Wingdings" w:hint="default"/>
      </w:rPr>
    </w:lvl>
    <w:lvl w:ilvl="3" w:tplc="0C0A0001" w:tentative="1">
      <w:start w:val="1"/>
      <w:numFmt w:val="bullet"/>
      <w:lvlText w:val=""/>
      <w:lvlJc w:val="left"/>
      <w:pPr>
        <w:ind w:left="2730" w:hanging="360"/>
      </w:pPr>
      <w:rPr>
        <w:rFonts w:ascii="Symbol" w:hAnsi="Symbol" w:hint="default"/>
      </w:rPr>
    </w:lvl>
    <w:lvl w:ilvl="4" w:tplc="0C0A0003" w:tentative="1">
      <w:start w:val="1"/>
      <w:numFmt w:val="bullet"/>
      <w:lvlText w:val="o"/>
      <w:lvlJc w:val="left"/>
      <w:pPr>
        <w:ind w:left="3450" w:hanging="360"/>
      </w:pPr>
      <w:rPr>
        <w:rFonts w:ascii="Courier New" w:hAnsi="Courier New" w:cs="Courier New" w:hint="default"/>
      </w:rPr>
    </w:lvl>
    <w:lvl w:ilvl="5" w:tplc="0C0A0005" w:tentative="1">
      <w:start w:val="1"/>
      <w:numFmt w:val="bullet"/>
      <w:lvlText w:val=""/>
      <w:lvlJc w:val="left"/>
      <w:pPr>
        <w:ind w:left="4170" w:hanging="360"/>
      </w:pPr>
      <w:rPr>
        <w:rFonts w:ascii="Wingdings" w:hAnsi="Wingdings" w:hint="default"/>
      </w:rPr>
    </w:lvl>
    <w:lvl w:ilvl="6" w:tplc="0C0A0001" w:tentative="1">
      <w:start w:val="1"/>
      <w:numFmt w:val="bullet"/>
      <w:lvlText w:val=""/>
      <w:lvlJc w:val="left"/>
      <w:pPr>
        <w:ind w:left="4890" w:hanging="360"/>
      </w:pPr>
      <w:rPr>
        <w:rFonts w:ascii="Symbol" w:hAnsi="Symbol" w:hint="default"/>
      </w:rPr>
    </w:lvl>
    <w:lvl w:ilvl="7" w:tplc="0C0A0003" w:tentative="1">
      <w:start w:val="1"/>
      <w:numFmt w:val="bullet"/>
      <w:lvlText w:val="o"/>
      <w:lvlJc w:val="left"/>
      <w:pPr>
        <w:ind w:left="5610" w:hanging="360"/>
      </w:pPr>
      <w:rPr>
        <w:rFonts w:ascii="Courier New" w:hAnsi="Courier New" w:cs="Courier New" w:hint="default"/>
      </w:rPr>
    </w:lvl>
    <w:lvl w:ilvl="8" w:tplc="0C0A0005" w:tentative="1">
      <w:start w:val="1"/>
      <w:numFmt w:val="bullet"/>
      <w:lvlText w:val=""/>
      <w:lvlJc w:val="left"/>
      <w:pPr>
        <w:ind w:left="6330" w:hanging="360"/>
      </w:pPr>
      <w:rPr>
        <w:rFonts w:ascii="Wingdings" w:hAnsi="Wingdings" w:hint="default"/>
      </w:rPr>
    </w:lvl>
  </w:abstractNum>
  <w:abstractNum w:abstractNumId="3" w15:restartNumberingAfterBreak="0">
    <w:nsid w:val="5BF346A8"/>
    <w:multiLevelType w:val="hybridMultilevel"/>
    <w:tmpl w:val="D88645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F00698F"/>
    <w:multiLevelType w:val="hybridMultilevel"/>
    <w:tmpl w:val="E4B695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76527536">
    <w:abstractNumId w:val="0"/>
  </w:num>
  <w:num w:numId="2" w16cid:durableId="2132940623">
    <w:abstractNumId w:val="4"/>
  </w:num>
  <w:num w:numId="3" w16cid:durableId="1104618644">
    <w:abstractNumId w:val="3"/>
  </w:num>
  <w:num w:numId="4" w16cid:durableId="89931156">
    <w:abstractNumId w:val="1"/>
  </w:num>
  <w:num w:numId="5" w16cid:durableId="444813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5852"/>
    <w:rsid w:val="00004494"/>
    <w:rsid w:val="00006591"/>
    <w:rsid w:val="00035444"/>
    <w:rsid w:val="000604C4"/>
    <w:rsid w:val="00066755"/>
    <w:rsid w:val="00073A36"/>
    <w:rsid w:val="00075711"/>
    <w:rsid w:val="000B1112"/>
    <w:rsid w:val="001069DE"/>
    <w:rsid w:val="001227A4"/>
    <w:rsid w:val="00124687"/>
    <w:rsid w:val="00141358"/>
    <w:rsid w:val="00153C93"/>
    <w:rsid w:val="00197585"/>
    <w:rsid w:val="001B4AC9"/>
    <w:rsid w:val="001C6582"/>
    <w:rsid w:val="001E7E29"/>
    <w:rsid w:val="002105E1"/>
    <w:rsid w:val="0021194D"/>
    <w:rsid w:val="00276BDE"/>
    <w:rsid w:val="002827E2"/>
    <w:rsid w:val="00287BE4"/>
    <w:rsid w:val="002905D9"/>
    <w:rsid w:val="002F0DDE"/>
    <w:rsid w:val="00311C3B"/>
    <w:rsid w:val="0032319B"/>
    <w:rsid w:val="00330BF6"/>
    <w:rsid w:val="00344359"/>
    <w:rsid w:val="003531CC"/>
    <w:rsid w:val="00363BAB"/>
    <w:rsid w:val="0036583B"/>
    <w:rsid w:val="003D3ED9"/>
    <w:rsid w:val="003D6ADD"/>
    <w:rsid w:val="003E36D5"/>
    <w:rsid w:val="003F1649"/>
    <w:rsid w:val="004144B7"/>
    <w:rsid w:val="004510AD"/>
    <w:rsid w:val="00476133"/>
    <w:rsid w:val="004A463A"/>
    <w:rsid w:val="004C7213"/>
    <w:rsid w:val="005453A9"/>
    <w:rsid w:val="0055050B"/>
    <w:rsid w:val="00553209"/>
    <w:rsid w:val="00555852"/>
    <w:rsid w:val="00582180"/>
    <w:rsid w:val="005822B0"/>
    <w:rsid w:val="005B5066"/>
    <w:rsid w:val="005B6267"/>
    <w:rsid w:val="005B6F50"/>
    <w:rsid w:val="005C7909"/>
    <w:rsid w:val="00603FCE"/>
    <w:rsid w:val="00626102"/>
    <w:rsid w:val="0063262F"/>
    <w:rsid w:val="006329D1"/>
    <w:rsid w:val="00644D58"/>
    <w:rsid w:val="00651D41"/>
    <w:rsid w:val="00653523"/>
    <w:rsid w:val="006B6E0E"/>
    <w:rsid w:val="007509CE"/>
    <w:rsid w:val="00761C7A"/>
    <w:rsid w:val="00765455"/>
    <w:rsid w:val="007A16EE"/>
    <w:rsid w:val="007B18D9"/>
    <w:rsid w:val="007B3CAD"/>
    <w:rsid w:val="007C1DF1"/>
    <w:rsid w:val="0081393A"/>
    <w:rsid w:val="008318CA"/>
    <w:rsid w:val="008844A9"/>
    <w:rsid w:val="008A6382"/>
    <w:rsid w:val="008A7ECD"/>
    <w:rsid w:val="008B6B00"/>
    <w:rsid w:val="008C15B3"/>
    <w:rsid w:val="008E437F"/>
    <w:rsid w:val="00937F41"/>
    <w:rsid w:val="00953360"/>
    <w:rsid w:val="0095386D"/>
    <w:rsid w:val="00976279"/>
    <w:rsid w:val="00987C7B"/>
    <w:rsid w:val="009B54A9"/>
    <w:rsid w:val="00A35A2C"/>
    <w:rsid w:val="00A6588A"/>
    <w:rsid w:val="00A75AB2"/>
    <w:rsid w:val="00A85E54"/>
    <w:rsid w:val="00AB2470"/>
    <w:rsid w:val="00AB29FB"/>
    <w:rsid w:val="00AC4862"/>
    <w:rsid w:val="00AD2A7D"/>
    <w:rsid w:val="00AE060D"/>
    <w:rsid w:val="00AF26F8"/>
    <w:rsid w:val="00AF3A71"/>
    <w:rsid w:val="00B11105"/>
    <w:rsid w:val="00B11D5B"/>
    <w:rsid w:val="00B3582C"/>
    <w:rsid w:val="00B37E43"/>
    <w:rsid w:val="00B63CF0"/>
    <w:rsid w:val="00B81B34"/>
    <w:rsid w:val="00BB351F"/>
    <w:rsid w:val="00BC2052"/>
    <w:rsid w:val="00BD206B"/>
    <w:rsid w:val="00BD4FB6"/>
    <w:rsid w:val="00BD6EE7"/>
    <w:rsid w:val="00C00274"/>
    <w:rsid w:val="00C62504"/>
    <w:rsid w:val="00C96AE8"/>
    <w:rsid w:val="00CC61F4"/>
    <w:rsid w:val="00CE07F1"/>
    <w:rsid w:val="00CE4843"/>
    <w:rsid w:val="00CE786C"/>
    <w:rsid w:val="00D05DDE"/>
    <w:rsid w:val="00D53104"/>
    <w:rsid w:val="00D72FA1"/>
    <w:rsid w:val="00D819D7"/>
    <w:rsid w:val="00D92591"/>
    <w:rsid w:val="00E266FD"/>
    <w:rsid w:val="00E536AD"/>
    <w:rsid w:val="00E76E77"/>
    <w:rsid w:val="00E93AF8"/>
    <w:rsid w:val="00EB1176"/>
    <w:rsid w:val="00EB1799"/>
    <w:rsid w:val="00EF142B"/>
    <w:rsid w:val="00F13F19"/>
    <w:rsid w:val="00F24AD3"/>
    <w:rsid w:val="00F57CF7"/>
    <w:rsid w:val="00F76106"/>
    <w:rsid w:val="00FB2B5B"/>
    <w:rsid w:val="00FE2576"/>
    <w:rsid w:val="00FF77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1F1BB"/>
  <w15:docId w15:val="{A011CF92-4095-A349-9EA7-F0D10440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HAnsi" w:hAnsi="Lato" w:cs="Times New Roman (Cuerpo en alfa"/>
        <w:kern w:val="2"/>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42B"/>
    <w:rPr>
      <w:kern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F142B"/>
    <w:pPr>
      <w:tabs>
        <w:tab w:val="center" w:pos="4419"/>
        <w:tab w:val="right" w:pos="8838"/>
      </w:tabs>
    </w:pPr>
    <w:rPr>
      <w:kern w:val="2"/>
    </w:rPr>
  </w:style>
  <w:style w:type="character" w:customStyle="1" w:styleId="EncabezadoCar">
    <w:name w:val="Encabezado Car"/>
    <w:basedOn w:val="Fuentedeprrafopredeter"/>
    <w:link w:val="Encabezado"/>
    <w:uiPriority w:val="99"/>
    <w:rsid w:val="00EF142B"/>
  </w:style>
  <w:style w:type="paragraph" w:styleId="Piedepgina">
    <w:name w:val="footer"/>
    <w:basedOn w:val="Normal"/>
    <w:link w:val="PiedepginaCar"/>
    <w:uiPriority w:val="99"/>
    <w:unhideWhenUsed/>
    <w:rsid w:val="00EF142B"/>
    <w:pPr>
      <w:tabs>
        <w:tab w:val="center" w:pos="4419"/>
        <w:tab w:val="right" w:pos="8838"/>
      </w:tabs>
    </w:pPr>
    <w:rPr>
      <w:kern w:val="2"/>
    </w:rPr>
  </w:style>
  <w:style w:type="character" w:customStyle="1" w:styleId="PiedepginaCar">
    <w:name w:val="Pie de página Car"/>
    <w:basedOn w:val="Fuentedeprrafopredeter"/>
    <w:link w:val="Piedepgina"/>
    <w:uiPriority w:val="99"/>
    <w:rsid w:val="00EF142B"/>
  </w:style>
  <w:style w:type="table" w:styleId="Tablaconcuadrcula">
    <w:name w:val="Table Grid"/>
    <w:basedOn w:val="Tablanormal"/>
    <w:uiPriority w:val="39"/>
    <w:rsid w:val="00EF142B"/>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B2470"/>
    <w:pPr>
      <w:ind w:left="720"/>
      <w:contextualSpacing/>
    </w:pPr>
  </w:style>
  <w:style w:type="table" w:customStyle="1" w:styleId="Tabladecuadrcula1clara-nfasis11">
    <w:name w:val="Tabla de cuadrícula 1 clara - Énfasis 11"/>
    <w:basedOn w:val="Tablanormal"/>
    <w:uiPriority w:val="46"/>
    <w:rsid w:val="008A638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644D58"/>
    <w:rPr>
      <w:color w:val="0563C1" w:themeColor="hyperlink"/>
      <w:u w:val="single"/>
    </w:rPr>
  </w:style>
  <w:style w:type="character" w:customStyle="1" w:styleId="Mencinsinresolver1">
    <w:name w:val="Mención sin resolver1"/>
    <w:basedOn w:val="Fuentedeprrafopredeter"/>
    <w:uiPriority w:val="99"/>
    <w:semiHidden/>
    <w:unhideWhenUsed/>
    <w:rsid w:val="00644D58"/>
    <w:rPr>
      <w:color w:val="605E5C"/>
      <w:shd w:val="clear" w:color="auto" w:fill="E1DFDD"/>
    </w:rPr>
  </w:style>
  <w:style w:type="character" w:styleId="Nmerodepgina">
    <w:name w:val="page number"/>
    <w:basedOn w:val="Fuentedeprrafopredeter"/>
    <w:uiPriority w:val="99"/>
    <w:semiHidden/>
    <w:unhideWhenUsed/>
    <w:rsid w:val="00987C7B"/>
  </w:style>
  <w:style w:type="paragraph" w:styleId="Revisin">
    <w:name w:val="Revision"/>
    <w:hidden/>
    <w:uiPriority w:val="99"/>
    <w:semiHidden/>
    <w:rsid w:val="00D92591"/>
    <w:rPr>
      <w:kern w:val="0"/>
    </w:rPr>
  </w:style>
  <w:style w:type="character" w:styleId="Refdecomentario">
    <w:name w:val="annotation reference"/>
    <w:basedOn w:val="Fuentedeprrafopredeter"/>
    <w:uiPriority w:val="99"/>
    <w:semiHidden/>
    <w:unhideWhenUsed/>
    <w:rsid w:val="00553209"/>
    <w:rPr>
      <w:sz w:val="16"/>
      <w:szCs w:val="16"/>
    </w:rPr>
  </w:style>
  <w:style w:type="paragraph" w:styleId="Textocomentario">
    <w:name w:val="annotation text"/>
    <w:basedOn w:val="Normal"/>
    <w:link w:val="TextocomentarioCar"/>
    <w:uiPriority w:val="99"/>
    <w:unhideWhenUsed/>
    <w:rsid w:val="00553209"/>
    <w:rPr>
      <w:sz w:val="20"/>
      <w:szCs w:val="20"/>
    </w:rPr>
  </w:style>
  <w:style w:type="character" w:customStyle="1" w:styleId="TextocomentarioCar">
    <w:name w:val="Texto comentario Car"/>
    <w:basedOn w:val="Fuentedeprrafopredeter"/>
    <w:link w:val="Textocomentario"/>
    <w:uiPriority w:val="99"/>
    <w:rsid w:val="00553209"/>
    <w:rPr>
      <w:kern w:val="0"/>
      <w:sz w:val="20"/>
      <w:szCs w:val="20"/>
    </w:rPr>
  </w:style>
  <w:style w:type="paragraph" w:styleId="Asuntodelcomentario">
    <w:name w:val="annotation subject"/>
    <w:basedOn w:val="Textocomentario"/>
    <w:next w:val="Textocomentario"/>
    <w:link w:val="AsuntodelcomentarioCar"/>
    <w:uiPriority w:val="99"/>
    <w:semiHidden/>
    <w:unhideWhenUsed/>
    <w:rsid w:val="00553209"/>
    <w:rPr>
      <w:b/>
      <w:bCs/>
    </w:rPr>
  </w:style>
  <w:style w:type="character" w:customStyle="1" w:styleId="AsuntodelcomentarioCar">
    <w:name w:val="Asunto del comentario Car"/>
    <w:basedOn w:val="TextocomentarioCar"/>
    <w:link w:val="Asuntodelcomentario"/>
    <w:uiPriority w:val="99"/>
    <w:semiHidden/>
    <w:rsid w:val="00553209"/>
    <w:rPr>
      <w:b/>
      <w:bCs/>
      <w:kern w:val="0"/>
      <w:sz w:val="20"/>
      <w:szCs w:val="20"/>
    </w:rPr>
  </w:style>
  <w:style w:type="paragraph" w:styleId="Textodeglobo">
    <w:name w:val="Balloon Text"/>
    <w:basedOn w:val="Normal"/>
    <w:link w:val="TextodegloboCar"/>
    <w:uiPriority w:val="99"/>
    <w:semiHidden/>
    <w:unhideWhenUsed/>
    <w:rsid w:val="00AE060D"/>
    <w:rPr>
      <w:rFonts w:ascii="Tahoma" w:hAnsi="Tahoma" w:cs="Tahoma"/>
      <w:sz w:val="16"/>
      <w:szCs w:val="16"/>
    </w:rPr>
  </w:style>
  <w:style w:type="character" w:customStyle="1" w:styleId="TextodegloboCar">
    <w:name w:val="Texto de globo Car"/>
    <w:basedOn w:val="Fuentedeprrafopredeter"/>
    <w:link w:val="Textodeglobo"/>
    <w:uiPriority w:val="99"/>
    <w:semiHidden/>
    <w:rsid w:val="00AE060D"/>
    <w:rPr>
      <w:rFonts w:ascii="Tahoma" w:hAnsi="Tahoma" w:cs="Tahoma"/>
      <w:kern w:val="0"/>
      <w:sz w:val="16"/>
      <w:szCs w:val="16"/>
    </w:rPr>
  </w:style>
  <w:style w:type="paragraph" w:styleId="Textosinformato">
    <w:name w:val="Plain Text"/>
    <w:basedOn w:val="Normal"/>
    <w:link w:val="TextosinformatoCar"/>
    <w:uiPriority w:val="99"/>
    <w:semiHidden/>
    <w:unhideWhenUsed/>
    <w:rsid w:val="00AE060D"/>
    <w:rPr>
      <w:rFonts w:ascii="Consolas" w:hAnsi="Consolas" w:cs="Times New Roman"/>
      <w:sz w:val="21"/>
      <w:szCs w:val="21"/>
    </w:rPr>
  </w:style>
  <w:style w:type="character" w:customStyle="1" w:styleId="TextosinformatoCar">
    <w:name w:val="Texto sin formato Car"/>
    <w:basedOn w:val="Fuentedeprrafopredeter"/>
    <w:link w:val="Textosinformato"/>
    <w:uiPriority w:val="99"/>
    <w:semiHidden/>
    <w:rsid w:val="00AE060D"/>
    <w:rPr>
      <w:rFonts w:ascii="Consolas" w:hAnsi="Consolas" w:cs="Times New Roman"/>
      <w:kern w:val="0"/>
      <w:sz w:val="21"/>
      <w:szCs w:val="21"/>
    </w:rPr>
  </w:style>
  <w:style w:type="paragraph" w:customStyle="1" w:styleId="CuerpoA">
    <w:name w:val="Cuerpo A"/>
    <w:basedOn w:val="Normal"/>
    <w:rsid w:val="00AE060D"/>
    <w:pPr>
      <w:spacing w:after="200" w:line="276" w:lineRule="auto"/>
    </w:pPr>
    <w:rPr>
      <w:rFonts w:ascii="Calibri" w:hAnsi="Calibri" w:cs="Calibri"/>
      <w:color w:val="000000"/>
      <w:sz w:val="22"/>
      <w:szCs w:val="22"/>
    </w:rPr>
  </w:style>
  <w:style w:type="paragraph" w:customStyle="1" w:styleId="P68B1DB1-Normal1">
    <w:name w:val="P68B1DB1-Normal1"/>
    <w:basedOn w:val="Normal"/>
    <w:rPr>
      <w:rFonts w:ascii="Times New Roman" w:hAnsi="Times New Roman" w:cs="Times New Roman"/>
      <w:b/>
      <w:bCs/>
      <w:sz w:val="31"/>
      <w:szCs w:val="31"/>
    </w:rPr>
  </w:style>
  <w:style w:type="paragraph" w:customStyle="1" w:styleId="P68B1DB1-Prrafodelista2">
    <w:name w:val="P68B1DB1-Prrafodelista2"/>
    <w:basedOn w:val="Prrafodelista"/>
    <w:rPr>
      <w:rFonts w:ascii="Times New Roman" w:eastAsia="Times New Roman" w:hAnsi="Times New Roman" w:cs="Times New Roman"/>
      <w:b/>
      <w:bCs/>
      <w:sz w:val="21"/>
      <w:szCs w:val="21"/>
    </w:rPr>
  </w:style>
  <w:style w:type="paragraph" w:customStyle="1" w:styleId="P68B1DB1-Normal3">
    <w:name w:val="P68B1DB1-Normal3"/>
    <w:basedOn w:val="Normal"/>
    <w:rPr>
      <w:rFonts w:ascii="Times New Roman" w:hAnsi="Times New Roman" w:cs="Times New Roman"/>
      <w:sz w:val="22"/>
      <w:szCs w:val="22"/>
    </w:rPr>
  </w:style>
  <w:style w:type="paragraph" w:customStyle="1" w:styleId="P68B1DB1-CuerpoA4">
    <w:name w:val="P68B1DB1-CuerpoA4"/>
    <w:basedOn w:val="CuerpoA"/>
    <w:rPr>
      <w:rFonts w:ascii="Times New Roman" w:hAnsi="Times New Roman" w:cs="Times New Roman"/>
      <w:b/>
      <w:color w:val="auto"/>
    </w:rPr>
  </w:style>
  <w:style w:type="paragraph" w:customStyle="1" w:styleId="P68B1DB1-Textosinformato5">
    <w:name w:val="P68B1DB1-Textosinformato5"/>
    <w:basedOn w:val="Textosinformato"/>
    <w:rPr>
      <w:rFonts w:ascii="Times New Roman" w:hAnsi="Times New Roman"/>
      <w:sz w:val="22"/>
      <w:szCs w:val="22"/>
    </w:rPr>
  </w:style>
  <w:style w:type="paragraph" w:customStyle="1" w:styleId="P68B1DB1-CuerpoA6">
    <w:name w:val="P68B1DB1-CuerpoA6"/>
    <w:basedOn w:val="CuerpoA"/>
    <w:rPr>
      <w:rFonts w:ascii="Times New Roman" w:hAnsi="Times New Roman"/>
    </w:rPr>
  </w:style>
  <w:style w:type="paragraph" w:customStyle="1" w:styleId="P68B1DB1-Normal7">
    <w:name w:val="P68B1DB1-Normal7"/>
    <w:basedOn w:val="Normal"/>
    <w:rPr>
      <w:rFonts w:ascii="Times New Roman" w:hAnsi="Times New Roman"/>
      <w:sz w:val="40"/>
      <w:szCs w:val="40"/>
    </w:rPr>
  </w:style>
  <w:style w:type="paragraph" w:customStyle="1" w:styleId="P68B1DB1-Encabezado8">
    <w:name w:val="P68B1DB1-Encabezado8"/>
    <w:basedOn w:val="Encabezado"/>
    <w:rPr>
      <w:rFonts w:ascii="Times New Roman" w:hAnsi="Times New Roman"/>
      <w:b/>
      <w:bCs/>
    </w:rPr>
  </w:style>
  <w:style w:type="paragraph" w:customStyle="1" w:styleId="P68B1DB1-Encabezado9">
    <w:name w:val="P68B1DB1-Encabezado9"/>
    <w:basedOn w:val="Encabezado"/>
    <w:rPr>
      <w:rFonts w:ascii="Times New Roman" w:hAnsi="Times New Roman"/>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96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6EC1054E71783408D97133B1D97A158" ma:contentTypeVersion="14" ma:contentTypeDescription="Crear nuevo documento." ma:contentTypeScope="" ma:versionID="308a67f45ff7c80e0a2131a99d0b8d60">
  <xsd:schema xmlns:xsd="http://www.w3.org/2001/XMLSchema" xmlns:xs="http://www.w3.org/2001/XMLSchema" xmlns:p="http://schemas.microsoft.com/office/2006/metadata/properties" xmlns:ns3="459fa4c5-f7de-4207-be08-3a6ed64cda00" xmlns:ns4="bf79a305-2d3a-4f81-87d2-67ef0ba7186d" targetNamespace="http://schemas.microsoft.com/office/2006/metadata/properties" ma:root="true" ma:fieldsID="4a4d38947fc9cd001589f9e82cca6235" ns3:_="" ns4:_="">
    <xsd:import namespace="459fa4c5-f7de-4207-be08-3a6ed64cda00"/>
    <xsd:import namespace="bf79a305-2d3a-4f81-87d2-67ef0ba7186d"/>
    <xsd:element name="properties">
      <xsd:complexType>
        <xsd:sequence>
          <xsd:element name="documentManagement">
            <xsd:complexType>
              <xsd:all>
                <xsd:element ref="ns3:MediaServiceMetadata" minOccurs="0"/>
                <xsd:element ref="ns3:MediaServiceFastMetadata" minOccurs="0"/>
                <xsd:element ref="ns3:_activity" minOccurs="0"/>
                <xsd:element ref="ns3:MediaServiceDateTaken" minOccurs="0"/>
                <xsd:element ref="ns3:MediaServiceObjectDetectorVersions" minOccurs="0"/>
                <xsd:element ref="ns3:MediaServiceAutoTags" minOccurs="0"/>
                <xsd:element ref="ns3:MediaLengthInSecond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fa4c5-f7de-4207-be08-3a6ed64cda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79a305-2d3a-4f81-87d2-67ef0ba7186d"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59fa4c5-f7de-4207-be08-3a6ed64cda0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F10359-BDB0-4D5A-B3B5-2E644CBD0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fa4c5-f7de-4207-be08-3a6ed64cda00"/>
    <ds:schemaRef ds:uri="bf79a305-2d3a-4f81-87d2-67ef0ba718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797FC1-32BF-421D-9B99-E4B5364A122D}">
  <ds:schemaRefs>
    <ds:schemaRef ds:uri="http://schemas.openxmlformats.org/officeDocument/2006/bibliography"/>
  </ds:schemaRefs>
</ds:datastoreItem>
</file>

<file path=customXml/itemProps3.xml><?xml version="1.0" encoding="utf-8"?>
<ds:datastoreItem xmlns:ds="http://schemas.openxmlformats.org/officeDocument/2006/customXml" ds:itemID="{8D2072DC-FA66-4317-8A22-697E195C2574}">
  <ds:schemaRefs>
    <ds:schemaRef ds:uri="http://schemas.microsoft.com/office/2006/metadata/properties"/>
    <ds:schemaRef ds:uri="http://schemas.microsoft.com/office/infopath/2007/PartnerControls"/>
    <ds:schemaRef ds:uri="459fa4c5-f7de-4207-be08-3a6ed64cda00"/>
  </ds:schemaRefs>
</ds:datastoreItem>
</file>

<file path=customXml/itemProps4.xml><?xml version="1.0" encoding="utf-8"?>
<ds:datastoreItem xmlns:ds="http://schemas.openxmlformats.org/officeDocument/2006/customXml" ds:itemID="{AB24A6C8-BF01-4C9D-8E32-0457AC29F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612</Words>
  <Characters>3366</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dc:creator>
  <cp:lastModifiedBy>Imanol Zenborain</cp:lastModifiedBy>
  <cp:revision>8</cp:revision>
  <cp:lastPrinted>2023-07-25T20:22:00Z</cp:lastPrinted>
  <dcterms:created xsi:type="dcterms:W3CDTF">2023-07-27T11:30:00Z</dcterms:created>
  <dcterms:modified xsi:type="dcterms:W3CDTF">2023-07-27T11:53:00Z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0x01010036EC1054E71783408D97133B1D97A158</vt:lpwstr>
  </property>
</Properties>
</file>