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F87C78" w14:textId="5DC3A85A" w:rsidR="0038318E" w:rsidRDefault="00000000">
      <w:pPr>
        <w:pStyle w:val="P68B1DB1-Normal1"/>
      </w:pPr>
      <w:r>
        <w:t>L’Ente Basque de l’Energie rassemble le secteur photovoltaïque basque pour encourager le traitement de nouvelles installations</w:t>
      </w:r>
    </w:p>
    <w:p w14:paraId="0976BBE6" w14:textId="77777777" w:rsidR="0038318E" w:rsidRDefault="0038318E"/>
    <w:p w14:paraId="60B8307E" w14:textId="46845B75" w:rsidR="0038318E" w:rsidRDefault="00000000">
      <w:pPr>
        <w:pStyle w:val="Prrafodelista"/>
        <w:numPr>
          <w:ilvl w:val="0"/>
          <w:numId w:val="1"/>
        </w:numPr>
      </w:pPr>
      <w:r>
        <w:t>200 représentants du secteur ont fait une journée de mise en commun sur de nouveaux processus de traitement qui accélèrent la connexion aux nouvelles installations.</w:t>
      </w:r>
    </w:p>
    <w:p w14:paraId="4A4A497E" w14:textId="77777777" w:rsidR="0038318E" w:rsidRPr="006379A8" w:rsidRDefault="00000000">
      <w:pPr>
        <w:pStyle w:val="Prrafodelista"/>
        <w:numPr>
          <w:ilvl w:val="0"/>
          <w:numId w:val="1"/>
        </w:numPr>
        <w:rPr>
          <w:lang w:val="en-US"/>
        </w:rPr>
      </w:pPr>
      <w:r w:rsidRPr="006379A8">
        <w:rPr>
          <w:lang w:val="en-US"/>
        </w:rPr>
        <w:t>Le Bureau de travail d’autoconsommation d’Euskadi, composé des associations d’installateurs, d’Iberdrola (i-DE) et du gouvernement basque.</w:t>
      </w:r>
    </w:p>
    <w:p w14:paraId="772F04A3" w14:textId="15883236" w:rsidR="0038318E" w:rsidRDefault="00000000">
      <w:pPr>
        <w:pStyle w:val="Prrafodelista"/>
        <w:numPr>
          <w:ilvl w:val="0"/>
          <w:numId w:val="1"/>
        </w:numPr>
      </w:pPr>
      <w:r>
        <w:t xml:space="preserve">L'autoconsommation a connu une forte augmentation à Euskadi avec 2 </w:t>
      </w:r>
      <w:r>
        <w:rPr>
          <w:rFonts w:ascii="AppleSystemUIFont" w:hAnsi="AppleSystemUIFont"/>
          <w:kern w:val="0"/>
          <w:sz w:val="26"/>
          <w:szCs w:val="26"/>
        </w:rPr>
        <w:t>161</w:t>
      </w:r>
      <w:r>
        <w:t xml:space="preserve"> installations en 2023 et 830 au premier semestre de 2024.</w:t>
      </w:r>
    </w:p>
    <w:p w14:paraId="0FF61C68" w14:textId="77777777" w:rsidR="0038318E" w:rsidRDefault="0038318E"/>
    <w:p w14:paraId="45C21AA8" w14:textId="77777777" w:rsidR="0038318E" w:rsidRDefault="0038318E"/>
    <w:p w14:paraId="19AD2030" w14:textId="5A7106D2" w:rsidR="0038318E" w:rsidRDefault="00000000">
      <w:pPr>
        <w:pStyle w:val="P68B1DB1-Normal2"/>
      </w:pPr>
      <w:r>
        <w:t>Bilbao, le 3 juillet 2024 - L’Ente Basque de l’Énergie rassemble plus de 200 représentants du secteur photovoltaïque pour faire connaître le résultat du Bureau d’Autoconsommation d’Euskadi. Après plus de six mois de travail, le Bureau a convenu avec Iberdrola, l’entreprise de distribution i-DE du groupe, de l’homogénéisation des démarches de connexion à mettre en œuvre avec les acteurs concernés et de la manière d’accélérer autant que possible ces démarches.</w:t>
      </w:r>
    </w:p>
    <w:p w14:paraId="2825D891" w14:textId="77777777" w:rsidR="0038318E" w:rsidRDefault="0038318E"/>
    <w:p w14:paraId="29656966" w14:textId="3B6179E3" w:rsidR="0038318E" w:rsidRDefault="00000000">
      <w:r>
        <w:t>Plus de 200 représentants de l’ensemble du secteur photovoltaïque se sont réunis ce matin au cours de la journée organisée par l’Ente Basque de l’Énergie pour connaître de première main le résultat du travail effectué par le Bureau d’Autoconsommation d’Euskadi, ce qui est d’un grand intérêt pour les installateurs, car les mesures adoptées permettront de normaliser le traitement et de réduire les délais. Pour ce faire, les principaux résultats et documents de travail établis ont été publiés, qui permettront le traitement de nouvelles installations avec la société de distribution i-DE.</w:t>
      </w:r>
    </w:p>
    <w:p w14:paraId="546A7276" w14:textId="77777777" w:rsidR="0038318E" w:rsidRDefault="0038318E"/>
    <w:p w14:paraId="4AB5C9B8" w14:textId="4F00E564" w:rsidR="0038318E" w:rsidRDefault="00000000">
      <w:r>
        <w:t>La journée a été marquée par la participation de représentants de la société de distribution i-DE, qui ont présenté le processus à suivre pour le traitement des installations d'autoconsommation, ainsi que les points clés et les bonnes pratiques qui permettent leur plus grande efficacité dans ce processus. En outre, une table ronde a été organisée avec la participation des associations d'installateurs d'autoconsommation d'Euskadi, où elles ont expliqué leur vision de l'évolution du secteur et de ses possibilités d'avenir.</w:t>
      </w:r>
    </w:p>
    <w:p w14:paraId="6D4AA165" w14:textId="77777777" w:rsidR="0038318E" w:rsidRDefault="0038318E"/>
    <w:p w14:paraId="1E77A501" w14:textId="60D4827F" w:rsidR="0038318E" w:rsidRDefault="00000000">
      <w:r>
        <w:t xml:space="preserve">Table de travail d’autoconsommation composée des associations d’installateurs Iberdrola (i-DE), UNEF, APPA, INSTAGI, SEA et AEIEB, de l’Ente Vasco de la Energy et du Gouvernement Basque. Pendant plus de six mois, des réunions de travail ont eu lieu avec la société de distribution de RDT pour convenir de voies de traitement permettant, d'une part, d'être plus opérationnelles, de disposer d'une </w:t>
      </w:r>
      <w:r>
        <w:lastRenderedPageBreak/>
        <w:t>procédure homogène et standardisée et, d'autre part, d'accélérer les délais dans le but de mettre en place des installations dans des délais plus raisonnables.</w:t>
      </w:r>
    </w:p>
    <w:p w14:paraId="79A640B4" w14:textId="77777777" w:rsidR="0038318E" w:rsidRDefault="0038318E"/>
    <w:p w14:paraId="604C32A8" w14:textId="77777777" w:rsidR="0038318E" w:rsidRDefault="0038318E"/>
    <w:p w14:paraId="49549907" w14:textId="77777777" w:rsidR="0038318E" w:rsidRDefault="0038318E"/>
    <w:p w14:paraId="668D0361" w14:textId="76995B08" w:rsidR="0038318E" w:rsidRDefault="00000000">
      <w:pPr>
        <w:pStyle w:val="P68B1DB1-Normal2"/>
      </w:pPr>
      <w:r>
        <w:t>Augmentation de l'autoconsommation en Euskadi</w:t>
      </w:r>
    </w:p>
    <w:p w14:paraId="1A238E73" w14:textId="151CF573" w:rsidR="0038318E" w:rsidRPr="006379A8" w:rsidRDefault="00000000">
      <w:r>
        <w:t xml:space="preserve">L'autoconsommation a connu une croissance exponentielle en Euskadi ces dernières années. L’arrêt de la pandémie et l’augmentation de l’activité économique de la COVID-19 ont entraîné une augmentation du prix de l’énergie électrique qui, associée à la publication des nouveaux programmes subventionnés pour ces installations, a également entraîné une augmentation significative des demandes de nouvelles installations d’autoconsommation dans les années 2022 et 2023. Ceci, à son tour, a tendu le marché et a entraîné un allongement des délais de traitement et de légalisation des projets, de sorte que l'Ente Vasco de la Energia a convoqué tous les agents de la Table d'Autoconsommation d'Euskadi </w:t>
      </w:r>
      <w:r w:rsidRPr="006379A8">
        <w:t>pour convenir des solutions et permettre un traitement standard, avec des délais toujours plus raisonnables.</w:t>
      </w:r>
    </w:p>
    <w:p w14:paraId="69EA04C0" w14:textId="77777777" w:rsidR="0038318E" w:rsidRPr="006379A8" w:rsidRDefault="0038318E">
      <w:pPr>
        <w:rPr>
          <w:rFonts w:cs="AppleSystemUIFont"/>
          <w:kern w:val="0"/>
          <w:sz w:val="26"/>
          <w:szCs w:val="26"/>
        </w:rPr>
      </w:pPr>
    </w:p>
    <w:p w14:paraId="6F687397" w14:textId="1A3E6B3E" w:rsidR="0038318E" w:rsidRPr="006379A8" w:rsidRDefault="00000000">
      <w:pPr>
        <w:pStyle w:val="P68B1DB1-Normal3"/>
        <w:rPr>
          <w:rFonts w:ascii="Lato" w:hAnsi="Lato"/>
        </w:rPr>
      </w:pPr>
      <w:r w:rsidRPr="006379A8">
        <w:rPr>
          <w:rFonts w:ascii="Lato" w:hAnsi="Lato"/>
        </w:rPr>
        <w:t>Il convient de noter qu'en 2023, une puissance de 46,2 MW a été mise en place à Euskadi dans 2 161 installations photovoltaïques auto-consommables et qu'une puissance globale de 30,1 MW a été atteinte dans 830 nouvelles installations au cours du premier semestre de 2024.</w:t>
      </w:r>
    </w:p>
    <w:sectPr w:rsidR="0038318E" w:rsidRPr="006379A8">
      <w:headerReference w:type="default" r:id="rId7"/>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39E39C" w14:textId="77777777" w:rsidR="00B21594" w:rsidRDefault="00B21594">
      <w:r>
        <w:separator/>
      </w:r>
    </w:p>
  </w:endnote>
  <w:endnote w:type="continuationSeparator" w:id="0">
    <w:p w14:paraId="112606CA" w14:textId="77777777" w:rsidR="00B21594" w:rsidRDefault="00B21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Lato">
    <w:panose1 w:val="020F0502020204030203"/>
    <w:charset w:val="00"/>
    <w:family w:val="swiss"/>
    <w:pitch w:val="variable"/>
    <w:sig w:usb0="E10002FF" w:usb1="5000ECFF" w:usb2="00000021" w:usb3="00000000" w:csb0="0000019F" w:csb1="00000000"/>
  </w:font>
  <w:font w:name="Aptos">
    <w:panose1 w:val="020B0004020202020204"/>
    <w:charset w:val="00"/>
    <w:family w:val="swiss"/>
    <w:pitch w:val="variable"/>
    <w:sig w:usb0="20000287" w:usb1="00000003" w:usb2="00000000" w:usb3="00000000" w:csb0="0000019F" w:csb1="00000000"/>
  </w:font>
  <w:font w:name="Times New Roman (Cuerpo en alfa">
    <w:altName w:val="Times New Roman"/>
    <w:panose1 w:val="02020603050405020304"/>
    <w:charset w:val="00"/>
    <w:family w:val="roman"/>
    <w:pitch w:val="variable"/>
    <w:sig w:usb0="E0002AEF" w:usb1="C0007841"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pleSystemUIFont">
    <w:altName w:val="Calibri"/>
    <w:panose1 w:val="020B0604020202020204"/>
    <w:charset w:val="00"/>
    <w:family w:val="auto"/>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8BB32B" w14:textId="77777777" w:rsidR="00B21594" w:rsidRDefault="00B21594">
      <w:r>
        <w:separator/>
      </w:r>
    </w:p>
  </w:footnote>
  <w:footnote w:type="continuationSeparator" w:id="0">
    <w:p w14:paraId="61D5D16F" w14:textId="77777777" w:rsidR="00B21594" w:rsidRDefault="00B215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59EC09" w14:textId="5D8FC427" w:rsidR="0038318E" w:rsidRDefault="00000000">
    <w:pPr>
      <w:pStyle w:val="Encabezado"/>
    </w:pPr>
    <w:r>
      <w:rPr>
        <w:noProof/>
      </w:rPr>
      <w:drawing>
        <wp:inline distT="0" distB="0" distL="0" distR="0" wp14:anchorId="048A0159" wp14:editId="47973ECF">
          <wp:extent cx="1453146" cy="554636"/>
          <wp:effectExtent l="0" t="0" r="0" b="4445"/>
          <wp:docPr id="1841682271" name="Imagen 1" descr="Imagen en blanco y negro  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682271" name="Imagen 1" descr="Imagen en blanco y negro  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463204" cy="558475"/>
                  </a:xfrm>
                  <a:prstGeom prst="rect">
                    <a:avLst/>
                  </a:prstGeom>
                </pic:spPr>
              </pic:pic>
            </a:graphicData>
          </a:graphic>
        </wp:inline>
      </w:drawing>
    </w:r>
    <w:r>
      <w:t xml:space="preserve">    </w:t>
    </w:r>
    <w:r>
      <w:rPr>
        <w:noProof/>
      </w:rPr>
      <w:drawing>
        <wp:inline distT="0" distB="0" distL="0" distR="0" wp14:anchorId="21858654" wp14:editId="2678587E">
          <wp:extent cx="1129679" cy="553939"/>
          <wp:effectExtent l="0" t="0" r="635" b="5080"/>
          <wp:docPr id="2075597024" name="Imagen 3" descr="Text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597024" name="Imagen 3" descr="Texto  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1161446" cy="569516"/>
                  </a:xfrm>
                  <a:prstGeom prst="rect">
                    <a:avLst/>
                  </a:prstGeom>
                </pic:spPr>
              </pic:pic>
            </a:graphicData>
          </a:graphic>
        </wp:inline>
      </w:drawing>
    </w:r>
    <w:r>
      <w:t xml:space="preserve">  </w:t>
    </w:r>
    <w:r>
      <w:rPr>
        <w:noProof/>
      </w:rPr>
      <w:drawing>
        <wp:inline distT="0" distB="0" distL="0" distR="0" wp14:anchorId="6F64F823" wp14:editId="70B9E0D3">
          <wp:extent cx="962500" cy="554870"/>
          <wp:effectExtent l="0" t="0" r="3175" b="4445"/>
          <wp:docPr id="38457036" name="Imagen 4" descr="Logotipo, nombre de la empres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57036" name="Imagen 4" descr="Logotipo, nombre de la empresa  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983807" cy="567153"/>
                  </a:xfrm>
                  <a:prstGeom prst="rect">
                    <a:avLst/>
                  </a:prstGeom>
                </pic:spPr>
              </pic:pic>
            </a:graphicData>
          </a:graphic>
        </wp:inline>
      </w:drawing>
    </w:r>
  </w:p>
  <w:p w14:paraId="2C600C5F" w14:textId="77777777" w:rsidR="0038318E" w:rsidRDefault="0038318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76053F"/>
    <w:multiLevelType w:val="hybridMultilevel"/>
    <w:tmpl w:val="F6BE948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8530361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B72"/>
    <w:rsid w:val="000948FB"/>
    <w:rsid w:val="000B4212"/>
    <w:rsid w:val="00193E24"/>
    <w:rsid w:val="0021549C"/>
    <w:rsid w:val="002827E2"/>
    <w:rsid w:val="002E34EE"/>
    <w:rsid w:val="002F6BB5"/>
    <w:rsid w:val="00313B72"/>
    <w:rsid w:val="0038318E"/>
    <w:rsid w:val="003B6FAA"/>
    <w:rsid w:val="003D7AA8"/>
    <w:rsid w:val="003E4B11"/>
    <w:rsid w:val="00487C43"/>
    <w:rsid w:val="004A0857"/>
    <w:rsid w:val="004C2742"/>
    <w:rsid w:val="00585BFE"/>
    <w:rsid w:val="005E6E15"/>
    <w:rsid w:val="00610FE7"/>
    <w:rsid w:val="006329D1"/>
    <w:rsid w:val="006379A8"/>
    <w:rsid w:val="00650953"/>
    <w:rsid w:val="00807296"/>
    <w:rsid w:val="008947D8"/>
    <w:rsid w:val="008C3AEF"/>
    <w:rsid w:val="00934B0C"/>
    <w:rsid w:val="00943440"/>
    <w:rsid w:val="00971778"/>
    <w:rsid w:val="00993E15"/>
    <w:rsid w:val="00A27D5B"/>
    <w:rsid w:val="00AC2359"/>
    <w:rsid w:val="00B21594"/>
    <w:rsid w:val="00B86253"/>
    <w:rsid w:val="00BB193F"/>
    <w:rsid w:val="00BF2082"/>
    <w:rsid w:val="00C142EA"/>
    <w:rsid w:val="00C57B7C"/>
    <w:rsid w:val="00DF4501"/>
    <w:rsid w:val="00E30410"/>
    <w:rsid w:val="00E868F8"/>
    <w:rsid w:val="00F73DE6"/>
    <w:rsid w:val="00FC3F83"/>
    <w:rsid w:val="00FD0FE3"/>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ecimalSymbol w:val=","/>
  <w:listSeparator w:val=";"/>
  <w14:docId w14:val="4806A8C9"/>
  <w15:chartTrackingRefBased/>
  <w15:docId w15:val="{1F635566-EF87-8945-842F-5A81B8D6A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ato" w:eastAsiaTheme="minorHAnsi" w:hAnsi="Lato" w:cs="Times New Roman (Cuerpo en alfa"/>
        <w:kern w:val="2"/>
        <w:sz w:val="24"/>
        <w:szCs w:val="24"/>
        <w:lang w:val="es-ES" w:eastAsia="es-ES_tradnl"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13B7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313B7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313B72"/>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313B7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Ttulo5">
    <w:name w:val="heading 5"/>
    <w:basedOn w:val="Normal"/>
    <w:next w:val="Normal"/>
    <w:link w:val="Ttulo5Car"/>
    <w:uiPriority w:val="9"/>
    <w:semiHidden/>
    <w:unhideWhenUsed/>
    <w:qFormat/>
    <w:rsid w:val="00313B72"/>
    <w:pPr>
      <w:keepNext/>
      <w:keepLines/>
      <w:spacing w:before="80" w:after="40"/>
      <w:outlineLvl w:val="4"/>
    </w:pPr>
    <w:rPr>
      <w:rFonts w:asciiTheme="minorHAnsi" w:eastAsiaTheme="majorEastAsia" w:hAnsiTheme="minorHAnsi" w:cstheme="majorBidi"/>
      <w:color w:val="0F4761" w:themeColor="accent1" w:themeShade="BF"/>
    </w:rPr>
  </w:style>
  <w:style w:type="paragraph" w:styleId="Ttulo6">
    <w:name w:val="heading 6"/>
    <w:basedOn w:val="Normal"/>
    <w:next w:val="Normal"/>
    <w:link w:val="Ttulo6Car"/>
    <w:uiPriority w:val="9"/>
    <w:semiHidden/>
    <w:unhideWhenUsed/>
    <w:qFormat/>
    <w:rsid w:val="00313B72"/>
    <w:pPr>
      <w:keepNext/>
      <w:keepLines/>
      <w:spacing w:before="40"/>
      <w:outlineLvl w:val="5"/>
    </w:pPr>
    <w:rPr>
      <w:rFonts w:asciiTheme="minorHAnsi" w:eastAsiaTheme="majorEastAsia" w:hAnsiTheme="minorHAnsi" w:cstheme="majorBidi"/>
      <w:i/>
      <w:iCs/>
      <w:color w:val="595959" w:themeColor="text1" w:themeTint="A6"/>
    </w:rPr>
  </w:style>
  <w:style w:type="paragraph" w:styleId="Ttulo7">
    <w:name w:val="heading 7"/>
    <w:basedOn w:val="Normal"/>
    <w:next w:val="Normal"/>
    <w:link w:val="Ttulo7Car"/>
    <w:uiPriority w:val="9"/>
    <w:semiHidden/>
    <w:unhideWhenUsed/>
    <w:qFormat/>
    <w:rsid w:val="00313B72"/>
    <w:pPr>
      <w:keepNext/>
      <w:keepLines/>
      <w:spacing w:before="40"/>
      <w:outlineLvl w:val="6"/>
    </w:pPr>
    <w:rPr>
      <w:rFonts w:asciiTheme="minorHAnsi" w:eastAsiaTheme="majorEastAsia" w:hAnsiTheme="minorHAnsi" w:cstheme="majorBidi"/>
      <w:color w:val="595959" w:themeColor="text1" w:themeTint="A6"/>
    </w:rPr>
  </w:style>
  <w:style w:type="paragraph" w:styleId="Ttulo8">
    <w:name w:val="heading 8"/>
    <w:basedOn w:val="Normal"/>
    <w:next w:val="Normal"/>
    <w:link w:val="Ttulo8Car"/>
    <w:uiPriority w:val="9"/>
    <w:semiHidden/>
    <w:unhideWhenUsed/>
    <w:qFormat/>
    <w:rsid w:val="00313B72"/>
    <w:pPr>
      <w:keepNext/>
      <w:keepLines/>
      <w:outlineLvl w:val="7"/>
    </w:pPr>
    <w:rPr>
      <w:rFonts w:asciiTheme="minorHAnsi" w:eastAsiaTheme="majorEastAsia" w:hAnsiTheme="minorHAnsi" w:cstheme="majorBidi"/>
      <w:i/>
      <w:iCs/>
      <w:color w:val="272727" w:themeColor="text1" w:themeTint="D8"/>
    </w:rPr>
  </w:style>
  <w:style w:type="paragraph" w:styleId="Ttulo9">
    <w:name w:val="heading 9"/>
    <w:basedOn w:val="Normal"/>
    <w:next w:val="Normal"/>
    <w:link w:val="Ttulo9Car"/>
    <w:uiPriority w:val="9"/>
    <w:semiHidden/>
    <w:unhideWhenUsed/>
    <w:qFormat/>
    <w:rsid w:val="00313B72"/>
    <w:pPr>
      <w:keepNext/>
      <w:keepLines/>
      <w:outlineLvl w:val="8"/>
    </w:pPr>
    <w:rPr>
      <w:rFonts w:asciiTheme="minorHAnsi" w:eastAsiaTheme="majorEastAsia" w:hAnsiTheme="minorHAnsi"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13B7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313B7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313B72"/>
    <w:rPr>
      <w:rFonts w:asciiTheme="minorHAnsi" w:eastAsiaTheme="majorEastAsia" w:hAnsiTheme="minorHAnsi" w:cstheme="majorBidi"/>
      <w:color w:val="0F4761" w:themeColor="accent1" w:themeShade="BF"/>
      <w:sz w:val="28"/>
      <w:szCs w:val="28"/>
    </w:rPr>
  </w:style>
  <w:style w:type="character" w:customStyle="1" w:styleId="Ttulo4Car">
    <w:name w:val="Título 4 Car"/>
    <w:basedOn w:val="Fuentedeprrafopredeter"/>
    <w:link w:val="Ttulo4"/>
    <w:uiPriority w:val="9"/>
    <w:semiHidden/>
    <w:rsid w:val="00313B72"/>
    <w:rPr>
      <w:rFonts w:asciiTheme="minorHAnsi" w:eastAsiaTheme="majorEastAsia" w:hAnsiTheme="minorHAnsi" w:cstheme="majorBidi"/>
      <w:i/>
      <w:iCs/>
      <w:color w:val="0F4761" w:themeColor="accent1" w:themeShade="BF"/>
    </w:rPr>
  </w:style>
  <w:style w:type="character" w:customStyle="1" w:styleId="Ttulo5Car">
    <w:name w:val="Título 5 Car"/>
    <w:basedOn w:val="Fuentedeprrafopredeter"/>
    <w:link w:val="Ttulo5"/>
    <w:uiPriority w:val="9"/>
    <w:semiHidden/>
    <w:rsid w:val="00313B72"/>
    <w:rPr>
      <w:rFonts w:asciiTheme="minorHAnsi" w:eastAsiaTheme="majorEastAsia" w:hAnsiTheme="minorHAnsi" w:cstheme="majorBidi"/>
      <w:color w:val="0F4761" w:themeColor="accent1" w:themeShade="BF"/>
    </w:rPr>
  </w:style>
  <w:style w:type="character" w:customStyle="1" w:styleId="Ttulo6Car">
    <w:name w:val="Título 6 Car"/>
    <w:basedOn w:val="Fuentedeprrafopredeter"/>
    <w:link w:val="Ttulo6"/>
    <w:uiPriority w:val="9"/>
    <w:semiHidden/>
    <w:rsid w:val="00313B72"/>
    <w:rPr>
      <w:rFonts w:asciiTheme="minorHAnsi" w:eastAsiaTheme="majorEastAsia" w:hAnsiTheme="minorHAnsi" w:cstheme="majorBidi"/>
      <w:i/>
      <w:iCs/>
      <w:color w:val="595959" w:themeColor="text1" w:themeTint="A6"/>
    </w:rPr>
  </w:style>
  <w:style w:type="character" w:customStyle="1" w:styleId="Ttulo7Car">
    <w:name w:val="Título 7 Car"/>
    <w:basedOn w:val="Fuentedeprrafopredeter"/>
    <w:link w:val="Ttulo7"/>
    <w:uiPriority w:val="9"/>
    <w:semiHidden/>
    <w:rsid w:val="00313B72"/>
    <w:rPr>
      <w:rFonts w:asciiTheme="minorHAnsi" w:eastAsiaTheme="majorEastAsia" w:hAnsiTheme="minorHAnsi" w:cstheme="majorBidi"/>
      <w:color w:val="595959" w:themeColor="text1" w:themeTint="A6"/>
    </w:rPr>
  </w:style>
  <w:style w:type="character" w:customStyle="1" w:styleId="Ttulo8Car">
    <w:name w:val="Título 8 Car"/>
    <w:basedOn w:val="Fuentedeprrafopredeter"/>
    <w:link w:val="Ttulo8"/>
    <w:uiPriority w:val="9"/>
    <w:semiHidden/>
    <w:rsid w:val="00313B72"/>
    <w:rPr>
      <w:rFonts w:asciiTheme="minorHAnsi" w:eastAsiaTheme="majorEastAsia" w:hAnsiTheme="minorHAnsi" w:cstheme="majorBidi"/>
      <w:i/>
      <w:iCs/>
      <w:color w:val="272727" w:themeColor="text1" w:themeTint="D8"/>
    </w:rPr>
  </w:style>
  <w:style w:type="character" w:customStyle="1" w:styleId="Ttulo9Car">
    <w:name w:val="Título 9 Car"/>
    <w:basedOn w:val="Fuentedeprrafopredeter"/>
    <w:link w:val="Ttulo9"/>
    <w:uiPriority w:val="9"/>
    <w:semiHidden/>
    <w:rsid w:val="00313B72"/>
    <w:rPr>
      <w:rFonts w:asciiTheme="minorHAnsi" w:eastAsiaTheme="majorEastAsia" w:hAnsiTheme="minorHAnsi" w:cstheme="majorBidi"/>
      <w:color w:val="272727" w:themeColor="text1" w:themeTint="D8"/>
    </w:rPr>
  </w:style>
  <w:style w:type="paragraph" w:styleId="Ttulo">
    <w:name w:val="Title"/>
    <w:basedOn w:val="Normal"/>
    <w:next w:val="Normal"/>
    <w:link w:val="TtuloCar"/>
    <w:uiPriority w:val="10"/>
    <w:qFormat/>
    <w:rsid w:val="00313B72"/>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13B7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13B72"/>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13B72"/>
    <w:rPr>
      <w:rFonts w:asciiTheme="minorHAnsi" w:eastAsiaTheme="majorEastAsia" w:hAnsiTheme="minorHAnsi" w:cstheme="majorBidi"/>
      <w:color w:val="595959" w:themeColor="text1" w:themeTint="A6"/>
      <w:spacing w:val="15"/>
      <w:sz w:val="28"/>
      <w:szCs w:val="28"/>
    </w:rPr>
  </w:style>
  <w:style w:type="paragraph" w:styleId="Cita">
    <w:name w:val="Quote"/>
    <w:basedOn w:val="Normal"/>
    <w:next w:val="Normal"/>
    <w:link w:val="CitaCar"/>
    <w:uiPriority w:val="29"/>
    <w:qFormat/>
    <w:rsid w:val="00313B72"/>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313B72"/>
    <w:rPr>
      <w:i/>
      <w:iCs/>
      <w:color w:val="404040" w:themeColor="text1" w:themeTint="BF"/>
    </w:rPr>
  </w:style>
  <w:style w:type="paragraph" w:styleId="Prrafodelista">
    <w:name w:val="List Paragraph"/>
    <w:basedOn w:val="Normal"/>
    <w:uiPriority w:val="34"/>
    <w:qFormat/>
    <w:rsid w:val="00313B72"/>
    <w:pPr>
      <w:ind w:left="720"/>
      <w:contextualSpacing/>
    </w:pPr>
  </w:style>
  <w:style w:type="character" w:styleId="nfasisintenso">
    <w:name w:val="Intense Emphasis"/>
    <w:basedOn w:val="Fuentedeprrafopredeter"/>
    <w:uiPriority w:val="21"/>
    <w:qFormat/>
    <w:rsid w:val="00313B72"/>
    <w:rPr>
      <w:i/>
      <w:iCs/>
      <w:color w:val="0F4761" w:themeColor="accent1" w:themeShade="BF"/>
    </w:rPr>
  </w:style>
  <w:style w:type="paragraph" w:styleId="Citadestacada">
    <w:name w:val="Intense Quote"/>
    <w:basedOn w:val="Normal"/>
    <w:next w:val="Normal"/>
    <w:link w:val="CitadestacadaCar"/>
    <w:uiPriority w:val="30"/>
    <w:qFormat/>
    <w:rsid w:val="00313B7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13B72"/>
    <w:rPr>
      <w:i/>
      <w:iCs/>
      <w:color w:val="0F4761" w:themeColor="accent1" w:themeShade="BF"/>
    </w:rPr>
  </w:style>
  <w:style w:type="character" w:styleId="Referenciaintensa">
    <w:name w:val="Intense Reference"/>
    <w:basedOn w:val="Fuentedeprrafopredeter"/>
    <w:uiPriority w:val="32"/>
    <w:qFormat/>
    <w:rsid w:val="00313B72"/>
    <w:rPr>
      <w:b/>
      <w:bCs/>
      <w:smallCaps/>
      <w:color w:val="0F4761" w:themeColor="accent1" w:themeShade="BF"/>
      <w:spacing w:val="5"/>
    </w:rPr>
  </w:style>
  <w:style w:type="paragraph" w:styleId="Encabezado">
    <w:name w:val="header"/>
    <w:basedOn w:val="Normal"/>
    <w:link w:val="EncabezadoCar"/>
    <w:uiPriority w:val="99"/>
    <w:unhideWhenUsed/>
    <w:rsid w:val="00193E24"/>
    <w:pPr>
      <w:tabs>
        <w:tab w:val="center" w:pos="4419"/>
        <w:tab w:val="right" w:pos="8838"/>
      </w:tabs>
    </w:pPr>
  </w:style>
  <w:style w:type="character" w:customStyle="1" w:styleId="EncabezadoCar">
    <w:name w:val="Encabezado Car"/>
    <w:basedOn w:val="Fuentedeprrafopredeter"/>
    <w:link w:val="Encabezado"/>
    <w:uiPriority w:val="99"/>
    <w:rsid w:val="00193E24"/>
  </w:style>
  <w:style w:type="paragraph" w:styleId="Piedepgina">
    <w:name w:val="footer"/>
    <w:basedOn w:val="Normal"/>
    <w:link w:val="PiedepginaCar"/>
    <w:uiPriority w:val="99"/>
    <w:unhideWhenUsed/>
    <w:rsid w:val="00193E24"/>
    <w:pPr>
      <w:tabs>
        <w:tab w:val="center" w:pos="4419"/>
        <w:tab w:val="right" w:pos="8838"/>
      </w:tabs>
    </w:pPr>
  </w:style>
  <w:style w:type="character" w:customStyle="1" w:styleId="PiedepginaCar">
    <w:name w:val="Pie de página Car"/>
    <w:basedOn w:val="Fuentedeprrafopredeter"/>
    <w:link w:val="Piedepgina"/>
    <w:uiPriority w:val="99"/>
    <w:rsid w:val="00193E24"/>
  </w:style>
  <w:style w:type="paragraph" w:customStyle="1" w:styleId="P68B1DB1-Normal1">
    <w:name w:val="P68B1DB1-Normal1"/>
    <w:basedOn w:val="Normal"/>
    <w:rPr>
      <w:b/>
      <w:bCs/>
      <w:sz w:val="40"/>
      <w:szCs w:val="32"/>
    </w:rPr>
  </w:style>
  <w:style w:type="paragraph" w:customStyle="1" w:styleId="P68B1DB1-Normal2">
    <w:name w:val="P68B1DB1-Normal2"/>
    <w:basedOn w:val="Normal"/>
    <w:rPr>
      <w:b/>
      <w:bCs/>
    </w:rPr>
  </w:style>
  <w:style w:type="paragraph" w:customStyle="1" w:styleId="P68B1DB1-Normal3">
    <w:name w:val="P68B1DB1-Normal3"/>
    <w:basedOn w:val="Normal"/>
    <w:rPr>
      <w:rFonts w:ascii="AppleSystemUIFont" w:hAnsi="AppleSystemUIFont" w:cs="AppleSystemUIFont"/>
      <w:kern w:val="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2</Pages>
  <Words>564</Words>
  <Characters>3266</Characters>
  <Application>Microsoft Office Word</Application>
  <DocSecurity>0</DocSecurity>
  <Lines>68</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Imanol Zenborain</dc:creator>
  <cp:keywords/>
  <dc:description/>
  <cp:lastModifiedBy>Imanol Zenborain</cp:lastModifiedBy>
  <cp:revision>21</cp:revision>
  <dcterms:created xsi:type="dcterms:W3CDTF">2024-06-28T06:07:00Z</dcterms:created>
  <dcterms:modified xsi:type="dcterms:W3CDTF">2024-11-11T12:07:00Z</dcterms:modified>
</cp:coreProperties>
</file>